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6C0F" w:rsidRDefault="00153B0C" w:rsidP="00EB6C0F">
      <w:pPr>
        <w:pStyle w:val="Default"/>
        <w:jc w:val="center"/>
      </w:pPr>
      <w:r>
        <w:rPr>
          <w:noProof/>
        </w:rPr>
        <w:drawing>
          <wp:inline distT="0" distB="0" distL="0" distR="0">
            <wp:extent cx="1596159" cy="1333500"/>
            <wp:effectExtent l="0" t="0" r="444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00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629040" cy="1360970"/>
                    </a:xfrm>
                    <a:prstGeom prst="rect">
                      <a:avLst/>
                    </a:prstGeom>
                  </pic:spPr>
                </pic:pic>
              </a:graphicData>
            </a:graphic>
          </wp:inline>
        </w:drawing>
      </w:r>
    </w:p>
    <w:p w:rsidR="0074050E" w:rsidRDefault="0074050E" w:rsidP="0074050E">
      <w:pPr>
        <w:pStyle w:val="Default"/>
      </w:pPr>
    </w:p>
    <w:p w:rsidR="0074050E" w:rsidRDefault="0074050E" w:rsidP="0074050E">
      <w:pPr>
        <w:pStyle w:val="Default"/>
      </w:pPr>
      <w:r w:rsidRPr="0074050E">
        <w:rPr>
          <w:b/>
        </w:rPr>
        <w:t>Accounting policies and procedures</w:t>
      </w:r>
      <w:r>
        <w:t>, reviewed annually and updated as needed.</w:t>
      </w:r>
    </w:p>
    <w:p w:rsidR="0074050E" w:rsidRDefault="0074050E" w:rsidP="0074050E">
      <w:pPr>
        <w:pStyle w:val="Default"/>
      </w:pPr>
      <w:r>
        <w:t>Our accounting is completed by the Program Director</w:t>
      </w:r>
      <w:r w:rsidR="005352BF">
        <w:t xml:space="preserve">, with over 12 </w:t>
      </w:r>
      <w:r w:rsidR="00153B0C">
        <w:t>years’ management experience and a Master’s in Public Administration,</w:t>
      </w:r>
      <w:r>
        <w:t xml:space="preserve"> in coordination with </w:t>
      </w:r>
      <w:proofErr w:type="spellStart"/>
      <w:r>
        <w:t>Kor</w:t>
      </w:r>
      <w:proofErr w:type="spellEnd"/>
      <w:r>
        <w:t xml:space="preserve"> Accounting. Wendy </w:t>
      </w:r>
      <w:proofErr w:type="spellStart"/>
      <w:r>
        <w:t>Kor</w:t>
      </w:r>
      <w:proofErr w:type="spellEnd"/>
      <w:r>
        <w:t xml:space="preserve"> has over 10 </w:t>
      </w:r>
      <w:r w:rsidR="00043B8C">
        <w:t>years’ experience</w:t>
      </w:r>
      <w:r>
        <w:t xml:space="preserve"> working directly with nonprofits, including those with </w:t>
      </w:r>
      <w:r w:rsidR="00153B0C">
        <w:t>federal</w:t>
      </w:r>
      <w:r>
        <w:t xml:space="preserve"> funding. </w:t>
      </w:r>
      <w:proofErr w:type="spellStart"/>
      <w:r>
        <w:t>Kor</w:t>
      </w:r>
      <w:proofErr w:type="spellEnd"/>
      <w:r>
        <w:t xml:space="preserve"> Accounting handles the following responsibilities for the CACDC;</w:t>
      </w:r>
    </w:p>
    <w:p w:rsidR="0074050E" w:rsidRDefault="0074050E" w:rsidP="0074050E">
      <w:pPr>
        <w:pStyle w:val="Default"/>
        <w:ind w:left="720"/>
        <w:rPr>
          <w:sz w:val="23"/>
          <w:szCs w:val="23"/>
        </w:rPr>
      </w:pPr>
      <w:r>
        <w:t>-</w:t>
      </w:r>
      <w:r>
        <w:rPr>
          <w:i/>
          <w:iCs/>
          <w:sz w:val="23"/>
          <w:szCs w:val="23"/>
        </w:rPr>
        <w:t>Accounting File</w:t>
      </w:r>
      <w:r>
        <w:rPr>
          <w:sz w:val="23"/>
          <w:szCs w:val="23"/>
        </w:rPr>
        <w:t xml:space="preserve">s are handled through </w:t>
      </w:r>
      <w:r w:rsidR="00043B8C">
        <w:rPr>
          <w:sz w:val="23"/>
          <w:szCs w:val="23"/>
        </w:rPr>
        <w:t>QuickBooks</w:t>
      </w:r>
      <w:r>
        <w:rPr>
          <w:sz w:val="23"/>
          <w:szCs w:val="23"/>
        </w:rPr>
        <w:t xml:space="preserve"> Online (QBO). </w:t>
      </w:r>
    </w:p>
    <w:p w:rsidR="0074050E" w:rsidRDefault="0074050E" w:rsidP="0074050E">
      <w:pPr>
        <w:pStyle w:val="Default"/>
        <w:ind w:left="720"/>
        <w:rPr>
          <w:sz w:val="23"/>
          <w:szCs w:val="23"/>
        </w:rPr>
      </w:pPr>
      <w:r>
        <w:rPr>
          <w:i/>
          <w:iCs/>
          <w:sz w:val="23"/>
          <w:szCs w:val="23"/>
        </w:rPr>
        <w:t xml:space="preserve">-Accounting Setup. </w:t>
      </w:r>
      <w:proofErr w:type="spellStart"/>
      <w:r>
        <w:rPr>
          <w:iCs/>
          <w:sz w:val="23"/>
          <w:szCs w:val="23"/>
        </w:rPr>
        <w:t>Kor</w:t>
      </w:r>
      <w:proofErr w:type="spellEnd"/>
      <w:r>
        <w:rPr>
          <w:iCs/>
          <w:sz w:val="23"/>
          <w:szCs w:val="23"/>
        </w:rPr>
        <w:t xml:space="preserve"> set up our </w:t>
      </w:r>
      <w:r>
        <w:rPr>
          <w:sz w:val="23"/>
          <w:szCs w:val="23"/>
        </w:rPr>
        <w:t xml:space="preserve">QBO file, including chart of accounts and any grant tracking requirements. CACDC utilizes electronic linkages with bank card to allow for data syncing where possible. We are up current with year to date information and accounting records. </w:t>
      </w:r>
    </w:p>
    <w:p w:rsidR="0074050E" w:rsidRDefault="0074050E" w:rsidP="0074050E">
      <w:pPr>
        <w:pStyle w:val="Default"/>
        <w:ind w:left="720"/>
        <w:rPr>
          <w:sz w:val="23"/>
          <w:szCs w:val="23"/>
        </w:rPr>
      </w:pPr>
      <w:r>
        <w:rPr>
          <w:i/>
          <w:iCs/>
          <w:sz w:val="23"/>
          <w:szCs w:val="23"/>
        </w:rPr>
        <w:t xml:space="preserve">-Provides Ongoing Accounting Support. </w:t>
      </w:r>
    </w:p>
    <w:p w:rsidR="0074050E" w:rsidRDefault="0074050E" w:rsidP="0074050E">
      <w:pPr>
        <w:pStyle w:val="Default"/>
        <w:ind w:left="720"/>
        <w:rPr>
          <w:sz w:val="23"/>
          <w:szCs w:val="23"/>
        </w:rPr>
      </w:pPr>
      <w:r>
        <w:rPr>
          <w:i/>
          <w:iCs/>
          <w:sz w:val="23"/>
          <w:szCs w:val="23"/>
        </w:rPr>
        <w:t xml:space="preserve">-CACDC </w:t>
      </w:r>
      <w:r>
        <w:rPr>
          <w:sz w:val="23"/>
          <w:szCs w:val="23"/>
        </w:rPr>
        <w:t xml:space="preserve">performs all ongoing daily bookkeeping functions such as making deposits and paying bills. That activity is entered into QBO with guidance from </w:t>
      </w:r>
      <w:proofErr w:type="spellStart"/>
      <w:r>
        <w:rPr>
          <w:sz w:val="23"/>
          <w:szCs w:val="23"/>
        </w:rPr>
        <w:t>Kor</w:t>
      </w:r>
      <w:proofErr w:type="spellEnd"/>
      <w:r>
        <w:rPr>
          <w:sz w:val="23"/>
          <w:szCs w:val="23"/>
        </w:rPr>
        <w:t xml:space="preserve"> on procedures. All original documentation of CACDC accounting records are maintained by the program director at the CACDC location in a locked file cabinet, in a locked office. </w:t>
      </w:r>
    </w:p>
    <w:p w:rsidR="0074050E" w:rsidRDefault="0074050E" w:rsidP="0074050E">
      <w:pPr>
        <w:pStyle w:val="Default"/>
        <w:ind w:left="720"/>
        <w:rPr>
          <w:sz w:val="23"/>
          <w:szCs w:val="23"/>
        </w:rPr>
      </w:pPr>
      <w:r>
        <w:rPr>
          <w:i/>
          <w:iCs/>
          <w:sz w:val="23"/>
          <w:szCs w:val="23"/>
        </w:rPr>
        <w:t xml:space="preserve">-Monthly or as needed: </w:t>
      </w:r>
      <w:proofErr w:type="spellStart"/>
      <w:r>
        <w:rPr>
          <w:sz w:val="23"/>
          <w:szCs w:val="23"/>
        </w:rPr>
        <w:t>Kor</w:t>
      </w:r>
      <w:proofErr w:type="spellEnd"/>
      <w:r w:rsidR="0006539B">
        <w:rPr>
          <w:sz w:val="23"/>
          <w:szCs w:val="23"/>
        </w:rPr>
        <w:t xml:space="preserve"> </w:t>
      </w:r>
      <w:r>
        <w:rPr>
          <w:sz w:val="23"/>
          <w:szCs w:val="23"/>
        </w:rPr>
        <w:t>provide</w:t>
      </w:r>
      <w:r w:rsidR="0006539B">
        <w:rPr>
          <w:sz w:val="23"/>
          <w:szCs w:val="23"/>
        </w:rPr>
        <w:t>s</w:t>
      </w:r>
      <w:r>
        <w:rPr>
          <w:sz w:val="23"/>
          <w:szCs w:val="23"/>
        </w:rPr>
        <w:t xml:space="preserve"> the accounting functions, including a review of the data entered, entering payroll as processed by a 3</w:t>
      </w:r>
      <w:r>
        <w:rPr>
          <w:sz w:val="16"/>
          <w:szCs w:val="16"/>
        </w:rPr>
        <w:t xml:space="preserve">rd </w:t>
      </w:r>
      <w:r>
        <w:rPr>
          <w:sz w:val="23"/>
          <w:szCs w:val="23"/>
        </w:rPr>
        <w:t xml:space="preserve">party, grant tracking in QBO, bank reconciliations, journal entries, and reporting. </w:t>
      </w:r>
    </w:p>
    <w:p w:rsidR="00C209B6" w:rsidRDefault="00C209B6" w:rsidP="00271A60">
      <w:pPr>
        <w:pStyle w:val="Default"/>
        <w:jc w:val="both"/>
        <w:rPr>
          <w:sz w:val="23"/>
          <w:szCs w:val="23"/>
        </w:rPr>
      </w:pPr>
      <w:r>
        <w:rPr>
          <w:sz w:val="23"/>
          <w:szCs w:val="23"/>
        </w:rPr>
        <w:tab/>
        <w:t>-</w:t>
      </w:r>
      <w:r w:rsidRPr="005352BF">
        <w:rPr>
          <w:i/>
          <w:sz w:val="23"/>
          <w:szCs w:val="23"/>
        </w:rPr>
        <w:t>Monthly</w:t>
      </w:r>
      <w:r>
        <w:rPr>
          <w:sz w:val="23"/>
          <w:szCs w:val="23"/>
        </w:rPr>
        <w:t xml:space="preserve"> the Program director completes the VOCA</w:t>
      </w:r>
      <w:bookmarkStart w:id="0" w:name="_GoBack"/>
      <w:bookmarkEnd w:id="0"/>
      <w:r>
        <w:rPr>
          <w:sz w:val="23"/>
          <w:szCs w:val="23"/>
        </w:rPr>
        <w:t xml:space="preserve"> FSR by line item. Prior to </w:t>
      </w:r>
    </w:p>
    <w:p w:rsidR="00C209B6" w:rsidRDefault="00C209B6" w:rsidP="00C209B6">
      <w:pPr>
        <w:pStyle w:val="Default"/>
        <w:ind w:left="720"/>
        <w:jc w:val="both"/>
        <w:rPr>
          <w:sz w:val="23"/>
          <w:szCs w:val="23"/>
        </w:rPr>
      </w:pPr>
      <w:r>
        <w:rPr>
          <w:sz w:val="23"/>
          <w:szCs w:val="23"/>
        </w:rPr>
        <w:t xml:space="preserve">submitting costs for reimbursement or purchase the YTD totals are checked to ensure availability of </w:t>
      </w:r>
      <w:proofErr w:type="gramStart"/>
      <w:r>
        <w:rPr>
          <w:sz w:val="23"/>
          <w:szCs w:val="23"/>
        </w:rPr>
        <w:t>funds(</w:t>
      </w:r>
      <w:proofErr w:type="gramEnd"/>
      <w:r>
        <w:rPr>
          <w:sz w:val="23"/>
          <w:szCs w:val="23"/>
        </w:rPr>
        <w:t xml:space="preserve">VOCA or other grants). </w:t>
      </w:r>
      <w:r w:rsidR="005352BF">
        <w:rPr>
          <w:sz w:val="23"/>
          <w:szCs w:val="23"/>
        </w:rPr>
        <w:t xml:space="preserve">Additionally, a decision is made prior to purchase based on current reserve funds to support purchases while awaiting reimbursement from VOCA funds. </w:t>
      </w:r>
    </w:p>
    <w:p w:rsidR="005352BF" w:rsidRDefault="005352BF" w:rsidP="00C209B6">
      <w:pPr>
        <w:pStyle w:val="Default"/>
        <w:ind w:left="720"/>
        <w:jc w:val="both"/>
        <w:rPr>
          <w:sz w:val="23"/>
          <w:szCs w:val="23"/>
        </w:rPr>
      </w:pPr>
      <w:r>
        <w:rPr>
          <w:sz w:val="23"/>
          <w:szCs w:val="23"/>
        </w:rPr>
        <w:t xml:space="preserve">-Questions over </w:t>
      </w:r>
      <w:r w:rsidR="00153B0C">
        <w:rPr>
          <w:sz w:val="23"/>
          <w:szCs w:val="23"/>
        </w:rPr>
        <w:t>grant related funds are directed to the assigned</w:t>
      </w:r>
      <w:r>
        <w:rPr>
          <w:sz w:val="23"/>
          <w:szCs w:val="23"/>
        </w:rPr>
        <w:t xml:space="preserve"> </w:t>
      </w:r>
      <w:r w:rsidR="00153B0C">
        <w:rPr>
          <w:sz w:val="23"/>
          <w:szCs w:val="23"/>
        </w:rPr>
        <w:t>grantor representative.</w:t>
      </w:r>
    </w:p>
    <w:p w:rsidR="005352BF" w:rsidRDefault="005352BF" w:rsidP="00C209B6">
      <w:pPr>
        <w:pStyle w:val="Default"/>
        <w:ind w:left="720"/>
        <w:jc w:val="both"/>
        <w:rPr>
          <w:sz w:val="23"/>
          <w:szCs w:val="23"/>
        </w:rPr>
      </w:pPr>
    </w:p>
    <w:p w:rsidR="00EB6C0F" w:rsidRPr="00EB6C0F" w:rsidRDefault="00EB6C0F" w:rsidP="00EB6C0F">
      <w:pPr>
        <w:pStyle w:val="Default"/>
        <w:rPr>
          <w:b/>
          <w:sz w:val="23"/>
          <w:szCs w:val="23"/>
        </w:rPr>
      </w:pPr>
      <w:r w:rsidRPr="00EB6C0F">
        <w:rPr>
          <w:b/>
          <w:sz w:val="23"/>
          <w:szCs w:val="23"/>
        </w:rPr>
        <w:t>Grant Management Capacity</w:t>
      </w:r>
    </w:p>
    <w:p w:rsidR="005352BF" w:rsidRDefault="005352BF" w:rsidP="005352BF">
      <w:pPr>
        <w:pStyle w:val="Default"/>
        <w:rPr>
          <w:sz w:val="23"/>
          <w:szCs w:val="23"/>
        </w:rPr>
      </w:pPr>
      <w:r>
        <w:rPr>
          <w:sz w:val="23"/>
          <w:szCs w:val="23"/>
        </w:rPr>
        <w:t>The CACDC is a new nonprofit</w:t>
      </w:r>
      <w:r w:rsidR="00567300">
        <w:rPr>
          <w:sz w:val="23"/>
          <w:szCs w:val="23"/>
        </w:rPr>
        <w:t xml:space="preserve"> (2021)</w:t>
      </w:r>
      <w:r>
        <w:rPr>
          <w:sz w:val="23"/>
          <w:szCs w:val="23"/>
        </w:rPr>
        <w:t xml:space="preserve"> with additional funding by Douglas County, </w:t>
      </w:r>
      <w:r w:rsidR="00567300">
        <w:rPr>
          <w:sz w:val="23"/>
          <w:szCs w:val="23"/>
        </w:rPr>
        <w:t xml:space="preserve">VOCA, Office of the Attorney General, </w:t>
      </w:r>
      <w:r>
        <w:rPr>
          <w:sz w:val="23"/>
          <w:szCs w:val="23"/>
        </w:rPr>
        <w:t xml:space="preserve">private donations and private foundations. Prior to working for CACDC, the </w:t>
      </w:r>
      <w:r w:rsidR="00E40501">
        <w:rPr>
          <w:sz w:val="23"/>
          <w:szCs w:val="23"/>
        </w:rPr>
        <w:t>Executive</w:t>
      </w:r>
      <w:r>
        <w:rPr>
          <w:sz w:val="23"/>
          <w:szCs w:val="23"/>
        </w:rPr>
        <w:t xml:space="preserve"> </w:t>
      </w:r>
      <w:r w:rsidR="00E40501">
        <w:rPr>
          <w:sz w:val="23"/>
          <w:szCs w:val="23"/>
        </w:rPr>
        <w:t>D</w:t>
      </w:r>
      <w:r>
        <w:rPr>
          <w:sz w:val="23"/>
          <w:szCs w:val="23"/>
        </w:rPr>
        <w:t xml:space="preserve">irector has experience in program budgeting, grant reporting and program implementation for such grants as CVAF, CVAF-CA, United Way, Human Services Fund (Johnson County) as well as multiple private foundations. </w:t>
      </w:r>
    </w:p>
    <w:p w:rsidR="00EB6C0F" w:rsidRDefault="00EB6C0F" w:rsidP="005352BF">
      <w:pPr>
        <w:pStyle w:val="Default"/>
        <w:rPr>
          <w:sz w:val="23"/>
          <w:szCs w:val="23"/>
        </w:rPr>
      </w:pPr>
    </w:p>
    <w:p w:rsidR="00EB6C0F" w:rsidRPr="00C209B6" w:rsidRDefault="00EB6C0F" w:rsidP="005352BF">
      <w:pPr>
        <w:pStyle w:val="Default"/>
        <w:rPr>
          <w:sz w:val="23"/>
          <w:szCs w:val="23"/>
        </w:rPr>
      </w:pPr>
    </w:p>
    <w:sectPr w:rsidR="00EB6C0F" w:rsidRPr="00C209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050E"/>
    <w:rsid w:val="00043B8C"/>
    <w:rsid w:val="0006539B"/>
    <w:rsid w:val="00153B0C"/>
    <w:rsid w:val="00271A60"/>
    <w:rsid w:val="005352BF"/>
    <w:rsid w:val="00567300"/>
    <w:rsid w:val="006F5218"/>
    <w:rsid w:val="0074050E"/>
    <w:rsid w:val="00964611"/>
    <w:rsid w:val="00A0049E"/>
    <w:rsid w:val="00B11DB1"/>
    <w:rsid w:val="00C209B6"/>
    <w:rsid w:val="00E40501"/>
    <w:rsid w:val="00EB6C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2317D8"/>
  <w15:chartTrackingRefBased/>
  <w15:docId w15:val="{1E1BF707-61A6-448F-87C7-88DAD00345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74050E"/>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337</Words>
  <Characters>1924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CAC</dc:creator>
  <cp:keywords/>
  <dc:description/>
  <cp:lastModifiedBy>CAC</cp:lastModifiedBy>
  <cp:revision>2</cp:revision>
  <dcterms:created xsi:type="dcterms:W3CDTF">2022-05-02T20:39:00Z</dcterms:created>
  <dcterms:modified xsi:type="dcterms:W3CDTF">2022-05-02T20:39:00Z</dcterms:modified>
</cp:coreProperties>
</file>