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83E" w:rsidRDefault="00A4183E" w:rsidP="00A4183E">
      <w:pPr>
        <w:rPr>
          <w:rFonts w:ascii="Arial" w:hAnsi="Arial" w:cs="Arial"/>
          <w:b/>
          <w:sz w:val="22"/>
          <w:szCs w:val="22"/>
        </w:rPr>
      </w:pPr>
    </w:p>
    <w:p w:rsidR="00A4183E" w:rsidRDefault="00A4183E" w:rsidP="00A4183E">
      <w:pPr>
        <w:rPr>
          <w:rFonts w:ascii="Arial" w:hAnsi="Arial" w:cs="Arial"/>
          <w:b/>
          <w:sz w:val="22"/>
          <w:szCs w:val="22"/>
        </w:rPr>
      </w:pPr>
    </w:p>
    <w:p w:rsidR="00A4183E" w:rsidRDefault="00A4183E" w:rsidP="00A4183E">
      <w:pPr>
        <w:jc w:val="center"/>
        <w:rPr>
          <w:rFonts w:ascii="Arial" w:hAnsi="Arial" w:cs="Arial"/>
          <w:b/>
          <w:sz w:val="22"/>
          <w:szCs w:val="22"/>
        </w:rPr>
      </w:pPr>
    </w:p>
    <w:p w:rsidR="00A4183E" w:rsidRDefault="00A4183E" w:rsidP="00A4183E">
      <w:pPr>
        <w:jc w:val="center"/>
        <w:rPr>
          <w:rFonts w:ascii="Arial" w:hAnsi="Arial" w:cs="Arial"/>
          <w:b/>
          <w:sz w:val="22"/>
          <w:szCs w:val="22"/>
        </w:rPr>
      </w:pPr>
    </w:p>
    <w:p w:rsidR="00A4183E" w:rsidRDefault="00A4183E" w:rsidP="00A4183E">
      <w:pPr>
        <w:jc w:val="center"/>
        <w:rPr>
          <w:rFonts w:ascii="Arial" w:hAnsi="Arial" w:cs="Arial"/>
          <w:b/>
          <w:sz w:val="22"/>
          <w:szCs w:val="22"/>
        </w:rPr>
      </w:pPr>
      <w:r>
        <w:rPr>
          <w:rFonts w:ascii="Arial" w:hAnsi="Arial" w:cs="Arial"/>
          <w:b/>
          <w:noProof/>
          <w:sz w:val="22"/>
          <w:szCs w:val="22"/>
        </w:rPr>
        <w:drawing>
          <wp:inline distT="0" distB="0" distL="0" distR="0">
            <wp:extent cx="3723640" cy="51321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wrence KS_Vert_2clr.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723911" cy="5132497"/>
                    </a:xfrm>
                    <a:prstGeom prst="rect">
                      <a:avLst/>
                    </a:prstGeom>
                  </pic:spPr>
                </pic:pic>
              </a:graphicData>
            </a:graphic>
          </wp:inline>
        </w:drawing>
      </w:r>
    </w:p>
    <w:p w:rsidR="00A4183E" w:rsidRDefault="00A4183E" w:rsidP="00A4183E">
      <w:pPr>
        <w:rPr>
          <w:rFonts w:ascii="Arial" w:hAnsi="Arial" w:cs="Arial"/>
          <w:b/>
          <w:sz w:val="22"/>
          <w:szCs w:val="22"/>
        </w:rPr>
      </w:pPr>
    </w:p>
    <w:p w:rsidR="00A4183E" w:rsidRDefault="00A4183E" w:rsidP="00A4183E">
      <w:pPr>
        <w:rPr>
          <w:rFonts w:ascii="Arial" w:hAnsi="Arial" w:cs="Arial"/>
          <w:b/>
          <w:sz w:val="22"/>
          <w:szCs w:val="22"/>
        </w:rPr>
      </w:pPr>
    </w:p>
    <w:p w:rsidR="00A4183E" w:rsidRDefault="00A4183E" w:rsidP="00A4183E">
      <w:pPr>
        <w:rPr>
          <w:rFonts w:ascii="Arial" w:hAnsi="Arial" w:cs="Arial"/>
          <w:b/>
          <w:sz w:val="22"/>
          <w:szCs w:val="22"/>
        </w:rPr>
      </w:pPr>
    </w:p>
    <w:p w:rsidR="00A4183E" w:rsidRDefault="00A4183E" w:rsidP="00A4183E">
      <w:pPr>
        <w:jc w:val="center"/>
        <w:rPr>
          <w:rFonts w:ascii="Arial" w:hAnsi="Arial" w:cs="Arial"/>
          <w:b/>
          <w:sz w:val="48"/>
          <w:szCs w:val="48"/>
        </w:rPr>
      </w:pPr>
      <w:r w:rsidRPr="00A4183E">
        <w:rPr>
          <w:rFonts w:ascii="Arial" w:hAnsi="Arial" w:cs="Arial"/>
          <w:b/>
          <w:sz w:val="48"/>
          <w:szCs w:val="48"/>
        </w:rPr>
        <w:t>GENERAL FINANCE POLICY</w:t>
      </w:r>
    </w:p>
    <w:p w:rsidR="00A4183E" w:rsidRPr="00A4183E" w:rsidRDefault="00A4183E" w:rsidP="00A4183E">
      <w:pPr>
        <w:jc w:val="center"/>
        <w:rPr>
          <w:rFonts w:ascii="Arial" w:hAnsi="Arial" w:cs="Arial"/>
          <w:b/>
          <w:sz w:val="48"/>
          <w:szCs w:val="48"/>
        </w:rPr>
      </w:pPr>
    </w:p>
    <w:p w:rsidR="00A4183E" w:rsidRPr="00A4183E" w:rsidRDefault="00A4183E" w:rsidP="00A4183E">
      <w:pPr>
        <w:rPr>
          <w:rFonts w:ascii="Arial" w:hAnsi="Arial" w:cs="Arial"/>
          <w:b/>
          <w:sz w:val="32"/>
          <w:szCs w:val="32"/>
        </w:rPr>
      </w:pPr>
      <w:r w:rsidRPr="00A4183E">
        <w:rPr>
          <w:rFonts w:ascii="Arial" w:hAnsi="Arial" w:cs="Arial"/>
          <w:b/>
          <w:sz w:val="32"/>
          <w:szCs w:val="32"/>
        </w:rPr>
        <w:t xml:space="preserve">Reviewed: </w:t>
      </w:r>
      <w:r>
        <w:rPr>
          <w:rFonts w:ascii="Arial" w:hAnsi="Arial" w:cs="Arial"/>
          <w:b/>
          <w:sz w:val="32"/>
          <w:szCs w:val="32"/>
        </w:rPr>
        <w:t xml:space="preserve">Finance Committee- May 2022 </w:t>
      </w:r>
    </w:p>
    <w:p w:rsidR="00A4183E" w:rsidRPr="00A4183E" w:rsidRDefault="00A4183E" w:rsidP="00A4183E">
      <w:pPr>
        <w:rPr>
          <w:rFonts w:ascii="Arial" w:hAnsi="Arial" w:cs="Arial"/>
          <w:b/>
          <w:sz w:val="32"/>
          <w:szCs w:val="32"/>
        </w:rPr>
      </w:pPr>
      <w:r w:rsidRPr="00A4183E">
        <w:rPr>
          <w:rFonts w:ascii="Arial" w:hAnsi="Arial" w:cs="Arial"/>
          <w:b/>
          <w:sz w:val="32"/>
          <w:szCs w:val="32"/>
        </w:rPr>
        <w:t xml:space="preserve">Approved: </w:t>
      </w:r>
      <w:r>
        <w:rPr>
          <w:rFonts w:ascii="Arial" w:hAnsi="Arial" w:cs="Arial"/>
          <w:b/>
          <w:sz w:val="32"/>
          <w:szCs w:val="32"/>
        </w:rPr>
        <w:t>Board- May 2021</w:t>
      </w:r>
    </w:p>
    <w:p w:rsidR="00A4183E" w:rsidRPr="00A4183E" w:rsidRDefault="00A4183E" w:rsidP="00A4183E">
      <w:pPr>
        <w:rPr>
          <w:rFonts w:ascii="Arial" w:hAnsi="Arial" w:cs="Arial"/>
          <w:b/>
          <w:sz w:val="32"/>
          <w:szCs w:val="32"/>
        </w:rPr>
      </w:pPr>
      <w:bookmarkStart w:id="0" w:name="_GoBack"/>
      <w:bookmarkEnd w:id="0"/>
    </w:p>
    <w:p w:rsidR="00A4183E" w:rsidRDefault="00A4183E" w:rsidP="00A4183E">
      <w:pPr>
        <w:jc w:val="center"/>
        <w:rPr>
          <w:rFonts w:ascii="Arial" w:hAnsi="Arial" w:cs="Arial"/>
          <w:b/>
          <w:sz w:val="22"/>
          <w:szCs w:val="22"/>
        </w:rPr>
      </w:pPr>
      <w:r>
        <w:rPr>
          <w:rFonts w:ascii="Arial" w:hAnsi="Arial" w:cs="Arial"/>
          <w:b/>
          <w:sz w:val="22"/>
          <w:szCs w:val="22"/>
        </w:rPr>
        <w:br w:type="page"/>
      </w:r>
    </w:p>
    <w:p w:rsidR="00A4183E" w:rsidRPr="002C4FDA" w:rsidRDefault="00A4183E" w:rsidP="00A4183E">
      <w:pPr>
        <w:rPr>
          <w:rFonts w:ascii="Arial" w:hAnsi="Arial" w:cs="Arial"/>
          <w:b/>
          <w:sz w:val="22"/>
          <w:szCs w:val="22"/>
        </w:rPr>
      </w:pPr>
      <w:r>
        <w:rPr>
          <w:rFonts w:ascii="Arial" w:hAnsi="Arial" w:cs="Arial"/>
          <w:b/>
          <w:sz w:val="22"/>
          <w:szCs w:val="22"/>
        </w:rPr>
        <w:lastRenderedPageBreak/>
        <w:t>O</w:t>
      </w:r>
      <w:r w:rsidRPr="002C4FDA">
        <w:rPr>
          <w:rFonts w:ascii="Arial" w:hAnsi="Arial" w:cs="Arial"/>
          <w:b/>
          <w:sz w:val="22"/>
          <w:szCs w:val="22"/>
        </w:rPr>
        <w:t>verview</w:t>
      </w:r>
    </w:p>
    <w:p w:rsidR="00A4183E" w:rsidRPr="002C4FDA" w:rsidRDefault="00A4183E" w:rsidP="00A4183E">
      <w:pPr>
        <w:rPr>
          <w:rFonts w:ascii="Arial" w:hAnsi="Arial" w:cs="Arial"/>
          <w:sz w:val="22"/>
          <w:szCs w:val="22"/>
        </w:rPr>
      </w:pPr>
    </w:p>
    <w:p w:rsidR="00A4183E" w:rsidRPr="002C4FDA" w:rsidRDefault="00A4183E" w:rsidP="00A4183E">
      <w:pPr>
        <w:ind w:left="144"/>
        <w:rPr>
          <w:rFonts w:ascii="Arial" w:hAnsi="Arial" w:cs="Arial"/>
          <w:sz w:val="22"/>
          <w:szCs w:val="22"/>
        </w:rPr>
      </w:pPr>
      <w:r w:rsidRPr="002C4FDA">
        <w:rPr>
          <w:rFonts w:ascii="Arial" w:hAnsi="Arial" w:cs="Arial"/>
          <w:sz w:val="22"/>
          <w:szCs w:val="22"/>
        </w:rPr>
        <w:t>Section 2.1.(c) of the U.S. Affiliation Agreement entered into between Lawrence Habitat for Humanity (“LHfH”) and Habitat for Humanity International (“HHI”) on December 20, 2007 requires LHfH to comply substantially with the HfHI U.S. Affiliated Organization Policy Handbook (“HfHI Policy Handbook”) and operate in a manner in which the affiliate can affirmatively respond to the Quality Assurance Checklist (“QA Checklist”).</w:t>
      </w:r>
      <w:r w:rsidRPr="002C4FDA">
        <w:rPr>
          <w:rFonts w:ascii="Arial" w:hAnsi="Arial" w:cs="Arial"/>
          <w:sz w:val="22"/>
          <w:szCs w:val="22"/>
          <w:vertAlign w:val="superscript"/>
        </w:rPr>
        <w:t xml:space="preserve"> </w:t>
      </w:r>
      <w:r w:rsidRPr="002C4FDA">
        <w:rPr>
          <w:rFonts w:ascii="Arial" w:hAnsi="Arial" w:cs="Arial"/>
          <w:sz w:val="22"/>
          <w:szCs w:val="22"/>
        </w:rPr>
        <w:t>HfHI Policy Handbook requires LHfH to substantially follow the standards and guidelines set forth in the Affiliate Operations Manual: Financial Policies and Procedures dated 2004 (“AOM”). In adherence to best practices, AOM and financial related matters of the U.S. Affiliation Agreement, QA Checklist, and HfHI Policy Handbook, LHfH will maintain the following policies which are collectively referred to as the LHfH Financial Policy.</w:t>
      </w:r>
    </w:p>
    <w:p w:rsidR="00A4183E" w:rsidRPr="002C4FDA" w:rsidRDefault="00A4183E" w:rsidP="00A4183E">
      <w:pPr>
        <w:ind w:left="1530" w:hanging="990"/>
        <w:rPr>
          <w:rFonts w:ascii="Arial" w:hAnsi="Arial" w:cs="Arial"/>
          <w:sz w:val="22"/>
          <w:szCs w:val="22"/>
        </w:rPr>
      </w:pPr>
    </w:p>
    <w:p w:rsidR="00A4183E" w:rsidRPr="002C4FDA" w:rsidRDefault="00A4183E" w:rsidP="00A4183E">
      <w:pPr>
        <w:pStyle w:val="ListParagraph"/>
        <w:numPr>
          <w:ilvl w:val="0"/>
          <w:numId w:val="1"/>
        </w:numPr>
        <w:rPr>
          <w:rFonts w:ascii="Arial" w:hAnsi="Arial" w:cs="Arial"/>
          <w:sz w:val="22"/>
          <w:szCs w:val="22"/>
        </w:rPr>
      </w:pPr>
      <w:r>
        <w:rPr>
          <w:rFonts w:ascii="Arial" w:hAnsi="Arial" w:cs="Arial"/>
          <w:sz w:val="22"/>
          <w:szCs w:val="22"/>
        </w:rPr>
        <w:t xml:space="preserve"> </w:t>
      </w:r>
      <w:r w:rsidRPr="002C4FDA">
        <w:rPr>
          <w:rFonts w:ascii="Arial" w:hAnsi="Arial" w:cs="Arial"/>
          <w:sz w:val="22"/>
          <w:szCs w:val="22"/>
        </w:rPr>
        <w:t>Financial Policy Review and Adherence Policy</w:t>
      </w:r>
    </w:p>
    <w:p w:rsidR="00A4183E" w:rsidRPr="002C4FDA" w:rsidRDefault="00A4183E" w:rsidP="00A4183E">
      <w:pPr>
        <w:pStyle w:val="ListParagraph"/>
        <w:numPr>
          <w:ilvl w:val="0"/>
          <w:numId w:val="1"/>
        </w:numPr>
        <w:rPr>
          <w:rFonts w:ascii="Arial" w:hAnsi="Arial" w:cs="Arial"/>
          <w:sz w:val="22"/>
          <w:szCs w:val="22"/>
        </w:rPr>
      </w:pPr>
      <w:r>
        <w:rPr>
          <w:rFonts w:ascii="Arial" w:hAnsi="Arial" w:cs="Arial"/>
          <w:sz w:val="22"/>
          <w:szCs w:val="22"/>
        </w:rPr>
        <w:t xml:space="preserve"> </w:t>
      </w:r>
      <w:r w:rsidRPr="002C4FDA">
        <w:rPr>
          <w:rFonts w:ascii="Arial" w:hAnsi="Arial" w:cs="Arial"/>
          <w:sz w:val="22"/>
          <w:szCs w:val="22"/>
        </w:rPr>
        <w:t>Financial Reporting Policy</w:t>
      </w:r>
    </w:p>
    <w:p w:rsidR="00A4183E" w:rsidRPr="002C4FDA" w:rsidRDefault="00A4183E" w:rsidP="00A4183E">
      <w:pPr>
        <w:pStyle w:val="ListParagraph"/>
        <w:numPr>
          <w:ilvl w:val="0"/>
          <w:numId w:val="1"/>
        </w:numPr>
        <w:rPr>
          <w:rFonts w:ascii="Arial" w:hAnsi="Arial" w:cs="Arial"/>
          <w:sz w:val="22"/>
          <w:szCs w:val="22"/>
        </w:rPr>
      </w:pPr>
      <w:r>
        <w:rPr>
          <w:rFonts w:ascii="Arial" w:hAnsi="Arial" w:cs="Arial"/>
          <w:sz w:val="22"/>
          <w:szCs w:val="22"/>
        </w:rPr>
        <w:t xml:space="preserve"> </w:t>
      </w:r>
      <w:r w:rsidRPr="002C4FDA">
        <w:rPr>
          <w:rFonts w:ascii="Arial" w:hAnsi="Arial" w:cs="Arial"/>
          <w:sz w:val="22"/>
          <w:szCs w:val="22"/>
        </w:rPr>
        <w:t>Donor Intent Policy</w:t>
      </w:r>
    </w:p>
    <w:p w:rsidR="00A4183E" w:rsidRPr="002C4FDA" w:rsidRDefault="00A4183E" w:rsidP="00A4183E">
      <w:pPr>
        <w:pStyle w:val="ListParagraph"/>
        <w:numPr>
          <w:ilvl w:val="0"/>
          <w:numId w:val="1"/>
        </w:numPr>
        <w:rPr>
          <w:rFonts w:ascii="Arial" w:hAnsi="Arial" w:cs="Arial"/>
          <w:sz w:val="22"/>
          <w:szCs w:val="22"/>
        </w:rPr>
      </w:pPr>
      <w:r>
        <w:rPr>
          <w:rFonts w:ascii="Arial" w:hAnsi="Arial" w:cs="Arial"/>
          <w:sz w:val="22"/>
          <w:szCs w:val="22"/>
        </w:rPr>
        <w:t xml:space="preserve"> </w:t>
      </w:r>
      <w:r w:rsidRPr="00EC72C0">
        <w:rPr>
          <w:rFonts w:ascii="Arial" w:hAnsi="Arial" w:cs="Arial"/>
          <w:sz w:val="22"/>
          <w:szCs w:val="22"/>
        </w:rPr>
        <w:t>Home Suitability and Resale Policy</w:t>
      </w:r>
      <w:r w:rsidRPr="002C4FDA">
        <w:rPr>
          <w:rFonts w:ascii="Arial" w:hAnsi="Arial" w:cs="Arial"/>
          <w:b/>
          <w:sz w:val="22"/>
          <w:szCs w:val="22"/>
        </w:rPr>
        <w:t xml:space="preserve"> </w:t>
      </w:r>
    </w:p>
    <w:p w:rsidR="00A4183E" w:rsidRPr="002C4FDA" w:rsidRDefault="00A4183E" w:rsidP="00A4183E">
      <w:pPr>
        <w:pStyle w:val="ListParagraph"/>
        <w:numPr>
          <w:ilvl w:val="0"/>
          <w:numId w:val="1"/>
        </w:numPr>
        <w:rPr>
          <w:rFonts w:ascii="Arial" w:hAnsi="Arial" w:cs="Arial"/>
          <w:sz w:val="22"/>
          <w:szCs w:val="22"/>
        </w:rPr>
      </w:pPr>
      <w:r>
        <w:rPr>
          <w:rFonts w:ascii="Arial" w:hAnsi="Arial" w:cs="Arial"/>
          <w:sz w:val="22"/>
          <w:szCs w:val="22"/>
        </w:rPr>
        <w:t xml:space="preserve"> </w:t>
      </w:r>
      <w:r w:rsidRPr="002C4FDA">
        <w:rPr>
          <w:rFonts w:ascii="Arial" w:hAnsi="Arial" w:cs="Arial"/>
          <w:sz w:val="22"/>
          <w:szCs w:val="22"/>
        </w:rPr>
        <w:t>Budget Policy</w:t>
      </w:r>
    </w:p>
    <w:p w:rsidR="00A4183E" w:rsidRPr="002C4FDA" w:rsidRDefault="00A4183E" w:rsidP="00A4183E">
      <w:pPr>
        <w:pStyle w:val="ListParagraph"/>
        <w:numPr>
          <w:ilvl w:val="0"/>
          <w:numId w:val="1"/>
        </w:numPr>
        <w:rPr>
          <w:rFonts w:ascii="Arial" w:hAnsi="Arial" w:cs="Arial"/>
          <w:sz w:val="22"/>
          <w:szCs w:val="22"/>
        </w:rPr>
      </w:pPr>
      <w:r>
        <w:rPr>
          <w:rFonts w:ascii="Arial" w:hAnsi="Arial" w:cs="Arial"/>
          <w:sz w:val="22"/>
          <w:szCs w:val="22"/>
        </w:rPr>
        <w:t xml:space="preserve"> </w:t>
      </w:r>
      <w:r w:rsidRPr="002C4FDA">
        <w:rPr>
          <w:rFonts w:ascii="Arial" w:hAnsi="Arial" w:cs="Arial"/>
          <w:sz w:val="22"/>
          <w:szCs w:val="22"/>
        </w:rPr>
        <w:t>Insurance Policy</w:t>
      </w:r>
    </w:p>
    <w:p w:rsidR="00A4183E" w:rsidRPr="002C4FDA" w:rsidRDefault="00A4183E" w:rsidP="00A4183E">
      <w:pPr>
        <w:pStyle w:val="ListParagraph"/>
        <w:numPr>
          <w:ilvl w:val="0"/>
          <w:numId w:val="1"/>
        </w:numPr>
        <w:rPr>
          <w:rFonts w:ascii="Arial" w:hAnsi="Arial" w:cs="Arial"/>
          <w:sz w:val="22"/>
          <w:szCs w:val="22"/>
        </w:rPr>
      </w:pPr>
      <w:r>
        <w:rPr>
          <w:rFonts w:ascii="Arial" w:hAnsi="Arial" w:cs="Arial"/>
          <w:sz w:val="22"/>
          <w:szCs w:val="22"/>
        </w:rPr>
        <w:t xml:space="preserve"> </w:t>
      </w:r>
      <w:r w:rsidRPr="002C4FDA">
        <w:rPr>
          <w:rFonts w:ascii="Arial" w:hAnsi="Arial" w:cs="Arial"/>
          <w:sz w:val="22"/>
          <w:szCs w:val="22"/>
        </w:rPr>
        <w:t>Laws and Regulations Compliance Policy</w:t>
      </w:r>
    </w:p>
    <w:p w:rsidR="00A4183E" w:rsidRPr="002C4FDA" w:rsidRDefault="00A4183E" w:rsidP="00A4183E">
      <w:pPr>
        <w:pStyle w:val="ListParagraph"/>
        <w:numPr>
          <w:ilvl w:val="0"/>
          <w:numId w:val="1"/>
        </w:numPr>
        <w:rPr>
          <w:rFonts w:ascii="Arial" w:hAnsi="Arial" w:cs="Arial"/>
          <w:sz w:val="22"/>
          <w:szCs w:val="22"/>
        </w:rPr>
      </w:pPr>
      <w:r>
        <w:rPr>
          <w:rFonts w:ascii="Arial" w:hAnsi="Arial" w:cs="Arial"/>
          <w:sz w:val="22"/>
          <w:szCs w:val="22"/>
        </w:rPr>
        <w:t xml:space="preserve"> </w:t>
      </w:r>
      <w:r w:rsidRPr="002C4FDA">
        <w:rPr>
          <w:rFonts w:ascii="Arial" w:hAnsi="Arial" w:cs="Arial"/>
          <w:sz w:val="22"/>
          <w:szCs w:val="22"/>
        </w:rPr>
        <w:t>Accounting Record Retention Policy</w:t>
      </w:r>
    </w:p>
    <w:p w:rsidR="00A4183E" w:rsidRPr="002C4FDA" w:rsidRDefault="00A4183E" w:rsidP="00A4183E">
      <w:pPr>
        <w:pStyle w:val="ListParagraph"/>
        <w:numPr>
          <w:ilvl w:val="0"/>
          <w:numId w:val="1"/>
        </w:numPr>
        <w:rPr>
          <w:rFonts w:ascii="Arial" w:hAnsi="Arial" w:cs="Arial"/>
          <w:sz w:val="22"/>
          <w:szCs w:val="22"/>
        </w:rPr>
      </w:pPr>
      <w:r>
        <w:rPr>
          <w:rFonts w:ascii="Arial" w:hAnsi="Arial" w:cs="Arial"/>
          <w:sz w:val="22"/>
          <w:szCs w:val="22"/>
        </w:rPr>
        <w:t xml:space="preserve"> </w:t>
      </w:r>
      <w:r w:rsidRPr="002C4FDA">
        <w:rPr>
          <w:rFonts w:ascii="Arial" w:hAnsi="Arial" w:cs="Arial"/>
          <w:sz w:val="22"/>
          <w:szCs w:val="22"/>
        </w:rPr>
        <w:t>Loan Originator</w:t>
      </w:r>
    </w:p>
    <w:p w:rsidR="00A4183E" w:rsidRPr="002C4FDA" w:rsidRDefault="00A4183E" w:rsidP="00A4183E">
      <w:pPr>
        <w:ind w:left="1440" w:hanging="990"/>
        <w:rPr>
          <w:rFonts w:ascii="Arial" w:hAnsi="Arial" w:cs="Arial"/>
          <w:sz w:val="22"/>
          <w:szCs w:val="22"/>
        </w:rPr>
      </w:pPr>
    </w:p>
    <w:p w:rsidR="00A4183E" w:rsidRPr="002C4FDA" w:rsidRDefault="00A4183E" w:rsidP="00A4183E">
      <w:pPr>
        <w:rPr>
          <w:rFonts w:ascii="Arial" w:hAnsi="Arial" w:cs="Arial"/>
          <w:sz w:val="22"/>
          <w:szCs w:val="22"/>
        </w:rPr>
      </w:pPr>
    </w:p>
    <w:p w:rsidR="00A4183E" w:rsidRPr="002C4FDA" w:rsidRDefault="00A4183E" w:rsidP="00A4183E">
      <w:pPr>
        <w:pStyle w:val="ListParagraph"/>
        <w:numPr>
          <w:ilvl w:val="0"/>
          <w:numId w:val="2"/>
        </w:numPr>
        <w:rPr>
          <w:rFonts w:ascii="Arial" w:hAnsi="Arial" w:cs="Arial"/>
          <w:b/>
          <w:sz w:val="22"/>
          <w:szCs w:val="22"/>
        </w:rPr>
      </w:pPr>
      <w:r w:rsidRPr="002C4FDA">
        <w:rPr>
          <w:rFonts w:ascii="Arial" w:hAnsi="Arial" w:cs="Arial"/>
          <w:b/>
          <w:sz w:val="22"/>
          <w:szCs w:val="22"/>
        </w:rPr>
        <w:t>Financial Policy Review and Adherence Policy</w:t>
      </w:r>
    </w:p>
    <w:p w:rsidR="00A4183E" w:rsidRPr="002C4FDA" w:rsidRDefault="00A4183E" w:rsidP="00A4183E">
      <w:pPr>
        <w:ind w:left="720"/>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The Finance Committee (”FC”) will be the primary venue for developing and revising LHfH Financial Policy.  The Executive Committee (“EC”) will be the secondary venue.  At least once per fiscal year, the FC will review and approve the Financial Policy and submit it to the EC.  The EC will then review, approve, and submit the LHfH Financial Policy to the Board for approval.</w:t>
      </w:r>
    </w:p>
    <w:p w:rsidR="00A4183E" w:rsidRPr="002C4FDA" w:rsidRDefault="00A4183E" w:rsidP="00A4183E">
      <w:pPr>
        <w:ind w:left="720"/>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 xml:space="preserve">The LHfH Financial Policy is supplemented by the </w:t>
      </w:r>
      <w:r w:rsidRPr="002C4FDA">
        <w:rPr>
          <w:rFonts w:ascii="Arial" w:hAnsi="Arial" w:cs="Arial"/>
          <w:i/>
          <w:sz w:val="22"/>
          <w:szCs w:val="22"/>
        </w:rPr>
        <w:t>Accounting Procedures Manual, Escrow Management Policy, Fiscal Safeguards Policy, Master Financial Calendar, Mortgage Origination Policy and, the Mortgage Servicing Policy</w:t>
      </w:r>
      <w:r w:rsidRPr="002C4FDA">
        <w:rPr>
          <w:rFonts w:ascii="Arial" w:hAnsi="Arial" w:cs="Arial"/>
          <w:sz w:val="22"/>
          <w:szCs w:val="22"/>
        </w:rPr>
        <w:t>, collectively referred to as supplemental procedures manuals.  The FC is responsible for periodically revising these supplemental procedures manuals as necessary to maintain compliance with the LHfH Financial Policy.  Changes to the Financial Policy and supplemental procedures manuals shall be documented in minutes.</w:t>
      </w:r>
    </w:p>
    <w:p w:rsidR="00A4183E" w:rsidRPr="002C4FDA" w:rsidRDefault="00A4183E" w:rsidP="00A4183E">
      <w:pPr>
        <w:ind w:left="720"/>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The Executive Director is responsible for implementing each requirement of the Financial Policy and supplemental procedures manuals that is not specifically assigned to the Board, Treasurer, committee, or a committee member.  Executive Directors, committee members, employees, and volunteers are responsible for complying with the LHfH Financial Policy and supplemental procedures manuals.</w:t>
      </w:r>
    </w:p>
    <w:p w:rsidR="00A4183E" w:rsidRPr="002C4FDA" w:rsidRDefault="00A4183E" w:rsidP="00A4183E">
      <w:pPr>
        <w:ind w:left="720"/>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Exceptions to the Financial Policy and supplemental procedures manuals should be rare and receive prior Board approval.</w:t>
      </w:r>
    </w:p>
    <w:p w:rsidR="00A4183E" w:rsidRPr="002C4FDA" w:rsidRDefault="00A4183E" w:rsidP="00A4183E">
      <w:pPr>
        <w:rPr>
          <w:rFonts w:ascii="Arial" w:hAnsi="Arial" w:cs="Arial"/>
          <w:sz w:val="22"/>
          <w:szCs w:val="22"/>
        </w:rPr>
      </w:pPr>
    </w:p>
    <w:p w:rsidR="00A4183E" w:rsidRPr="002C4FDA" w:rsidRDefault="00A4183E" w:rsidP="00A4183E">
      <w:pPr>
        <w:pStyle w:val="ListParagraph"/>
        <w:numPr>
          <w:ilvl w:val="0"/>
          <w:numId w:val="2"/>
        </w:numPr>
        <w:rPr>
          <w:rFonts w:ascii="Arial" w:hAnsi="Arial" w:cs="Arial"/>
          <w:b/>
          <w:sz w:val="22"/>
          <w:szCs w:val="22"/>
        </w:rPr>
      </w:pPr>
      <w:r w:rsidRPr="002C4FDA">
        <w:rPr>
          <w:rFonts w:ascii="Arial" w:hAnsi="Arial" w:cs="Arial"/>
          <w:b/>
          <w:sz w:val="22"/>
          <w:szCs w:val="22"/>
        </w:rPr>
        <w:t>Financial Reporting Policy</w:t>
      </w:r>
    </w:p>
    <w:p w:rsidR="00A4183E" w:rsidRDefault="00A4183E" w:rsidP="00A4183E">
      <w:pPr>
        <w:ind w:left="-540"/>
        <w:rPr>
          <w:rFonts w:ascii="Arial" w:hAnsi="Arial" w:cs="Arial"/>
          <w:sz w:val="22"/>
          <w:szCs w:val="22"/>
        </w:rPr>
      </w:pPr>
    </w:p>
    <w:p w:rsidR="00A4183E" w:rsidRPr="002C4FDA" w:rsidRDefault="00A4183E" w:rsidP="00A4183E">
      <w:pPr>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 xml:space="preserve">The FC shall maintain an </w:t>
      </w:r>
      <w:r w:rsidRPr="002C4FDA">
        <w:rPr>
          <w:rFonts w:ascii="Arial" w:hAnsi="Arial" w:cs="Arial"/>
          <w:i/>
          <w:sz w:val="22"/>
          <w:szCs w:val="22"/>
        </w:rPr>
        <w:t>Accounting Procedures Manual</w:t>
      </w:r>
      <w:r w:rsidRPr="002C4FDA">
        <w:rPr>
          <w:rFonts w:ascii="Arial" w:hAnsi="Arial" w:cs="Arial"/>
          <w:sz w:val="22"/>
          <w:szCs w:val="22"/>
        </w:rPr>
        <w:t xml:space="preserve"> which establishes recordkeeping procedures designed to ensure that LHfH maintains a record of all transactions in a manner that allows for accurate, complete and timely financial reporting and/or filings to all interested </w:t>
      </w:r>
      <w:r w:rsidRPr="002C4FDA">
        <w:rPr>
          <w:rFonts w:ascii="Arial" w:hAnsi="Arial" w:cs="Arial"/>
          <w:sz w:val="22"/>
          <w:szCs w:val="22"/>
        </w:rPr>
        <w:lastRenderedPageBreak/>
        <w:t xml:space="preserve">parties, including the Internal Revenue Service, Kansas Division of Insurance, Kansas Department of Revenue, HfHI, debtors, grantors, donors, insurers, mortgagees. </w:t>
      </w:r>
    </w:p>
    <w:p w:rsidR="00A4183E" w:rsidRPr="002C4FDA" w:rsidRDefault="00A4183E" w:rsidP="00A4183E">
      <w:pPr>
        <w:tabs>
          <w:tab w:val="left" w:pos="1260"/>
        </w:tabs>
        <w:rPr>
          <w:rFonts w:ascii="Arial" w:hAnsi="Arial" w:cs="Arial"/>
          <w:sz w:val="22"/>
          <w:szCs w:val="22"/>
        </w:rPr>
      </w:pPr>
    </w:p>
    <w:p w:rsidR="00A4183E" w:rsidRPr="002C4FDA" w:rsidRDefault="00A4183E" w:rsidP="00A4183E">
      <w:pPr>
        <w:pStyle w:val="ListParagraph"/>
        <w:numPr>
          <w:ilvl w:val="1"/>
          <w:numId w:val="2"/>
        </w:numPr>
        <w:tabs>
          <w:tab w:val="left" w:pos="1260"/>
        </w:tabs>
        <w:rPr>
          <w:rFonts w:ascii="Arial" w:hAnsi="Arial" w:cs="Arial"/>
          <w:sz w:val="22"/>
          <w:szCs w:val="22"/>
        </w:rPr>
      </w:pPr>
      <w:r w:rsidRPr="002C4FDA">
        <w:rPr>
          <w:rFonts w:ascii="Arial" w:hAnsi="Arial" w:cs="Arial"/>
          <w:sz w:val="22"/>
          <w:szCs w:val="22"/>
        </w:rPr>
        <w:t xml:space="preserve">The FC shall maintain an </w:t>
      </w:r>
      <w:r w:rsidRPr="002C4FDA">
        <w:rPr>
          <w:rFonts w:ascii="Arial" w:hAnsi="Arial" w:cs="Arial"/>
          <w:i/>
          <w:sz w:val="22"/>
          <w:szCs w:val="22"/>
        </w:rPr>
        <w:t>Accounting Procedures Manual</w:t>
      </w:r>
      <w:r w:rsidRPr="002C4FDA">
        <w:rPr>
          <w:rFonts w:ascii="Arial" w:hAnsi="Arial" w:cs="Arial"/>
          <w:sz w:val="22"/>
          <w:szCs w:val="22"/>
        </w:rPr>
        <w:t xml:space="preserve"> which establishes procedures to maintain financial records that are in compliance with Generally Accepted Accounting Principles (GAAP) as of each fiscal year-end.  Interim financial records are not required to be in full compliance with GAAP; specifically, the following accrual transactions only need to be recorded as of each fiscal year-end: mortgage discounting and adjustment to cash surrender value of life insurance policies.  An independent audit of LHfH’s financial records shall be performed annually by a Certified Public Accountant and GAAP compliance fiscal year-end financial statements shall be included in the Annual Financial Statement:</w:t>
      </w:r>
    </w:p>
    <w:p w:rsidR="00A4183E" w:rsidRPr="002C4FDA" w:rsidRDefault="00A4183E" w:rsidP="00A4183E">
      <w:pPr>
        <w:ind w:left="1440" w:firstLine="720"/>
        <w:rPr>
          <w:rFonts w:ascii="Arial" w:hAnsi="Arial" w:cs="Arial"/>
          <w:sz w:val="22"/>
          <w:szCs w:val="22"/>
        </w:rPr>
      </w:pPr>
      <w:r w:rsidRPr="002C4FDA">
        <w:rPr>
          <w:rFonts w:ascii="Arial" w:hAnsi="Arial" w:cs="Arial"/>
          <w:sz w:val="22"/>
          <w:szCs w:val="22"/>
        </w:rPr>
        <w:t>Statement of Financial Position</w:t>
      </w:r>
    </w:p>
    <w:p w:rsidR="00A4183E" w:rsidRPr="002C4FDA" w:rsidRDefault="00A4183E" w:rsidP="00A4183E">
      <w:pPr>
        <w:ind w:left="1440" w:firstLine="720"/>
        <w:rPr>
          <w:rFonts w:ascii="Arial" w:hAnsi="Arial" w:cs="Arial"/>
          <w:sz w:val="22"/>
          <w:szCs w:val="22"/>
        </w:rPr>
      </w:pPr>
      <w:r w:rsidRPr="002C4FDA">
        <w:rPr>
          <w:rFonts w:ascii="Arial" w:hAnsi="Arial" w:cs="Arial"/>
          <w:sz w:val="22"/>
          <w:szCs w:val="22"/>
        </w:rPr>
        <w:t>Statement of Activities</w:t>
      </w:r>
    </w:p>
    <w:p w:rsidR="00A4183E" w:rsidRPr="002C4FDA" w:rsidRDefault="00A4183E" w:rsidP="00A4183E">
      <w:pPr>
        <w:ind w:left="1440" w:firstLine="720"/>
        <w:rPr>
          <w:rFonts w:ascii="Arial" w:hAnsi="Arial" w:cs="Arial"/>
          <w:sz w:val="22"/>
          <w:szCs w:val="22"/>
        </w:rPr>
      </w:pPr>
      <w:r w:rsidRPr="002C4FDA">
        <w:rPr>
          <w:rFonts w:ascii="Arial" w:hAnsi="Arial" w:cs="Arial"/>
          <w:sz w:val="22"/>
          <w:szCs w:val="22"/>
        </w:rPr>
        <w:t>Statement of Cash Flows</w:t>
      </w:r>
    </w:p>
    <w:p w:rsidR="00A4183E" w:rsidRPr="002C4FDA" w:rsidRDefault="00A4183E" w:rsidP="00A4183E">
      <w:pPr>
        <w:ind w:left="180"/>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As an affiliate under HfHI’s group tax exemption, 501(c)-3, LHfH has agreed to use Fiscal Year July 1 through June 30 and submit an annual IRS Form 990 to HfHI’s. The  U.S. Affiliation Agreement stipulates that HfHI will be given the rights to examine all books, documents, papers and records of Affiliate and that LHfH will promptly meet HfHI reasonable request for financial and operations reports.  The Executive Director is responsible for ensuring that LHfH provides accurate and complete information to HfHI in a timely manner.  To maintain 501(c)(3) tax-exemption status, LHfH must operate exclusively for purposes set forth in Section 501(c)(3) and none of its earnings may inure to any private shareholder or individual.  In addition, LHfH may not attempt to influence legislation as a substantial part of its activities and it may not participate in any campaign activity for or against political candidates.</w:t>
      </w:r>
    </w:p>
    <w:p w:rsidR="00A4183E" w:rsidRPr="002C4FDA" w:rsidRDefault="00A4183E" w:rsidP="00A4183E">
      <w:pPr>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 xml:space="preserve">The Executive Director is responsible for informing the FC of new financial reporting requirements that result from accepting funding or other activity so that recordkeeping procedures can be developed accordingly.  The Executive Director is responsible for overseeing the implementation of the new procedures and fulfilling reporting requirements.  This policy does not preclude the Executive Director from developing recordkeeping procedures or managing staff.  However, all financial recordkeeping procedures should be vetted by the FC and memorialized in the </w:t>
      </w:r>
      <w:r w:rsidRPr="002C4FDA">
        <w:rPr>
          <w:rFonts w:ascii="Arial" w:hAnsi="Arial" w:cs="Arial"/>
          <w:i/>
          <w:sz w:val="22"/>
          <w:szCs w:val="22"/>
        </w:rPr>
        <w:t>Accounting Procedures Manual</w:t>
      </w:r>
      <w:r w:rsidRPr="002C4FDA">
        <w:rPr>
          <w:rFonts w:ascii="Arial" w:hAnsi="Arial" w:cs="Arial"/>
          <w:sz w:val="22"/>
          <w:szCs w:val="22"/>
        </w:rPr>
        <w:t xml:space="preserve"> to preserve organizational knowledge and provide continuity as employees and volunteers turnover.</w:t>
      </w:r>
    </w:p>
    <w:p w:rsidR="00A4183E" w:rsidRPr="002C4FDA" w:rsidRDefault="00A4183E" w:rsidP="00A4183E">
      <w:pPr>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 xml:space="preserve">The following financial reports for shall be reviewed by the FC on a monthly basis.  The </w:t>
      </w:r>
      <w:r>
        <w:rPr>
          <w:rFonts w:ascii="Arial" w:hAnsi="Arial" w:cs="Arial"/>
          <w:sz w:val="22"/>
          <w:szCs w:val="22"/>
        </w:rPr>
        <w:t xml:space="preserve">Executive Director </w:t>
      </w:r>
      <w:r w:rsidRPr="002C4FDA">
        <w:rPr>
          <w:rFonts w:ascii="Arial" w:hAnsi="Arial" w:cs="Arial"/>
          <w:sz w:val="22"/>
          <w:szCs w:val="22"/>
        </w:rPr>
        <w:t>is responsible for compiling the statements:</w:t>
      </w:r>
    </w:p>
    <w:p w:rsidR="00A4183E" w:rsidRPr="002C4FDA" w:rsidRDefault="00A4183E" w:rsidP="00A4183E">
      <w:pPr>
        <w:ind w:left="1800" w:firstLine="360"/>
        <w:rPr>
          <w:rFonts w:ascii="Arial" w:hAnsi="Arial" w:cs="Arial"/>
          <w:sz w:val="22"/>
          <w:szCs w:val="22"/>
        </w:rPr>
      </w:pPr>
      <w:r w:rsidRPr="002C4FDA">
        <w:rPr>
          <w:rFonts w:ascii="Arial" w:hAnsi="Arial" w:cs="Arial"/>
          <w:sz w:val="22"/>
          <w:szCs w:val="22"/>
        </w:rPr>
        <w:t>Habitat Metrics</w:t>
      </w:r>
    </w:p>
    <w:p w:rsidR="00A4183E" w:rsidRPr="002C4FDA" w:rsidRDefault="00A4183E" w:rsidP="00A4183E">
      <w:pPr>
        <w:ind w:left="1440" w:firstLine="720"/>
        <w:rPr>
          <w:rFonts w:ascii="Arial" w:hAnsi="Arial" w:cs="Arial"/>
          <w:sz w:val="22"/>
          <w:szCs w:val="22"/>
        </w:rPr>
      </w:pPr>
      <w:r w:rsidRPr="002C4FDA">
        <w:rPr>
          <w:rFonts w:ascii="Arial" w:hAnsi="Arial" w:cs="Arial"/>
          <w:sz w:val="22"/>
          <w:szCs w:val="22"/>
        </w:rPr>
        <w:t>Affiliate Mortgage Summary</w:t>
      </w:r>
    </w:p>
    <w:p w:rsidR="00A4183E" w:rsidRPr="002C4FDA" w:rsidRDefault="00A4183E" w:rsidP="00A4183E">
      <w:pPr>
        <w:ind w:left="1440" w:firstLine="720"/>
        <w:rPr>
          <w:rFonts w:ascii="Arial" w:hAnsi="Arial" w:cs="Arial"/>
          <w:sz w:val="22"/>
          <w:szCs w:val="22"/>
        </w:rPr>
      </w:pPr>
      <w:r w:rsidRPr="002C4FDA">
        <w:rPr>
          <w:rFonts w:ascii="Arial" w:hAnsi="Arial" w:cs="Arial"/>
          <w:sz w:val="22"/>
          <w:szCs w:val="22"/>
        </w:rPr>
        <w:t>Statements of Financial Position</w:t>
      </w:r>
    </w:p>
    <w:p w:rsidR="00A4183E" w:rsidRPr="002C4FDA" w:rsidRDefault="00A4183E" w:rsidP="00A4183E">
      <w:pPr>
        <w:ind w:left="1800" w:firstLine="360"/>
        <w:rPr>
          <w:rFonts w:ascii="Arial" w:hAnsi="Arial" w:cs="Arial"/>
          <w:sz w:val="22"/>
          <w:szCs w:val="22"/>
        </w:rPr>
      </w:pPr>
      <w:r w:rsidRPr="002C4FDA">
        <w:rPr>
          <w:rFonts w:ascii="Arial" w:hAnsi="Arial" w:cs="Arial"/>
          <w:sz w:val="22"/>
          <w:szCs w:val="22"/>
        </w:rPr>
        <w:t>Statements of Activities</w:t>
      </w:r>
    </w:p>
    <w:p w:rsidR="00A4183E" w:rsidRPr="002C4FDA" w:rsidRDefault="00A4183E" w:rsidP="00A4183E">
      <w:pPr>
        <w:ind w:left="1440" w:firstLine="720"/>
        <w:rPr>
          <w:rFonts w:ascii="Arial" w:hAnsi="Arial" w:cs="Arial"/>
          <w:sz w:val="22"/>
          <w:szCs w:val="22"/>
        </w:rPr>
      </w:pPr>
      <w:r w:rsidRPr="002C4FDA">
        <w:rPr>
          <w:rFonts w:ascii="Arial" w:hAnsi="Arial" w:cs="Arial"/>
          <w:sz w:val="22"/>
          <w:szCs w:val="22"/>
        </w:rPr>
        <w:t>Affiliate P&amp;L</w:t>
      </w:r>
    </w:p>
    <w:p w:rsidR="00A4183E" w:rsidRPr="002C4FDA" w:rsidRDefault="00A4183E" w:rsidP="00A4183E">
      <w:pPr>
        <w:ind w:left="2160"/>
        <w:rPr>
          <w:rFonts w:ascii="Arial" w:hAnsi="Arial" w:cs="Arial"/>
          <w:sz w:val="22"/>
          <w:szCs w:val="22"/>
        </w:rPr>
      </w:pPr>
      <w:r w:rsidRPr="002C4FDA">
        <w:rPr>
          <w:rFonts w:ascii="Arial" w:hAnsi="Arial" w:cs="Arial"/>
          <w:sz w:val="22"/>
          <w:szCs w:val="22"/>
        </w:rPr>
        <w:t>ReStore P&amp;L</w:t>
      </w:r>
    </w:p>
    <w:p w:rsidR="00A4183E" w:rsidRPr="002C4FDA" w:rsidRDefault="00A4183E" w:rsidP="00A4183E">
      <w:pPr>
        <w:ind w:left="1800" w:firstLine="360"/>
        <w:rPr>
          <w:rFonts w:ascii="Arial" w:hAnsi="Arial" w:cs="Arial"/>
          <w:sz w:val="22"/>
          <w:szCs w:val="22"/>
        </w:rPr>
      </w:pPr>
      <w:r w:rsidRPr="002C4FDA">
        <w:rPr>
          <w:rFonts w:ascii="Arial" w:hAnsi="Arial" w:cs="Arial"/>
          <w:sz w:val="22"/>
          <w:szCs w:val="22"/>
        </w:rPr>
        <w:t>Statement of Cash Flow</w:t>
      </w:r>
    </w:p>
    <w:p w:rsidR="00A4183E" w:rsidRPr="002C4FDA" w:rsidRDefault="00A4183E" w:rsidP="00A4183E">
      <w:pPr>
        <w:ind w:left="1440" w:firstLine="720"/>
        <w:rPr>
          <w:rFonts w:ascii="Arial" w:hAnsi="Arial" w:cs="Arial"/>
          <w:sz w:val="22"/>
          <w:szCs w:val="22"/>
        </w:rPr>
      </w:pPr>
      <w:r w:rsidRPr="002C4FDA">
        <w:rPr>
          <w:rFonts w:ascii="Arial" w:hAnsi="Arial" w:cs="Arial"/>
          <w:sz w:val="22"/>
          <w:szCs w:val="22"/>
        </w:rPr>
        <w:t>Restricted Funds</w:t>
      </w:r>
    </w:p>
    <w:p w:rsidR="00A4183E" w:rsidRPr="002C4FDA" w:rsidRDefault="00A4183E" w:rsidP="00A4183E">
      <w:pPr>
        <w:ind w:left="1800" w:firstLine="360"/>
        <w:rPr>
          <w:rFonts w:ascii="Arial" w:hAnsi="Arial" w:cs="Arial"/>
          <w:sz w:val="22"/>
          <w:szCs w:val="22"/>
        </w:rPr>
      </w:pPr>
      <w:r>
        <w:rPr>
          <w:rFonts w:ascii="Arial" w:hAnsi="Arial" w:cs="Arial"/>
          <w:sz w:val="22"/>
          <w:szCs w:val="22"/>
        </w:rPr>
        <w:t>Building Plan/Budgets</w:t>
      </w:r>
    </w:p>
    <w:p w:rsidR="00A4183E" w:rsidRDefault="00A4183E" w:rsidP="00A4183E">
      <w:pPr>
        <w:rPr>
          <w:rFonts w:ascii="Arial" w:hAnsi="Arial" w:cs="Arial"/>
          <w:sz w:val="22"/>
          <w:szCs w:val="22"/>
        </w:rPr>
      </w:pPr>
    </w:p>
    <w:p w:rsidR="00A4183E" w:rsidRPr="002C4FDA" w:rsidRDefault="00A4183E" w:rsidP="00A4183E">
      <w:pPr>
        <w:pStyle w:val="ListParagraph"/>
        <w:rPr>
          <w:rFonts w:ascii="Arial" w:hAnsi="Arial" w:cs="Arial"/>
          <w:sz w:val="22"/>
          <w:szCs w:val="22"/>
        </w:rPr>
      </w:pPr>
      <w:r>
        <w:rPr>
          <w:rFonts w:ascii="Arial" w:hAnsi="Arial" w:cs="Arial"/>
          <w:sz w:val="22"/>
          <w:szCs w:val="22"/>
        </w:rPr>
        <w:tab/>
      </w:r>
      <w:r w:rsidRPr="002C4FDA">
        <w:rPr>
          <w:rFonts w:ascii="Arial" w:hAnsi="Arial" w:cs="Arial"/>
          <w:sz w:val="22"/>
          <w:szCs w:val="22"/>
        </w:rPr>
        <w:t>The Board (and Executive Committee) will be provided the Financial Metrics report for the most recent completed period at each meeting.  Any Board member may receive the full financials for the prior period upon request to the Treasurer or the Executive Director.</w:t>
      </w:r>
    </w:p>
    <w:p w:rsidR="00A4183E" w:rsidRPr="002C4FDA" w:rsidRDefault="00A4183E" w:rsidP="00A4183E">
      <w:pPr>
        <w:ind w:left="-540"/>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The Executive Director shall maintain a</w:t>
      </w:r>
      <w:r w:rsidRPr="002C4FDA">
        <w:rPr>
          <w:rFonts w:ascii="Arial" w:hAnsi="Arial" w:cs="Arial"/>
          <w:i/>
          <w:sz w:val="22"/>
          <w:szCs w:val="22"/>
        </w:rPr>
        <w:t xml:space="preserve"> Master Financial Calendar</w:t>
      </w:r>
      <w:r w:rsidRPr="002C4FDA">
        <w:rPr>
          <w:rFonts w:ascii="Arial" w:hAnsi="Arial" w:cs="Arial"/>
          <w:sz w:val="22"/>
          <w:szCs w:val="22"/>
        </w:rPr>
        <w:t xml:space="preserve"> that schedules all required filings or statements to the Internal Revenue Service, Kansas Division of Insurance, HfHI, debtors, grantors, donors, insurers, mortgagees or other entities to ensure that all filing requirements are known to the organization.  All filings shall be submitted so as not to incur </w:t>
      </w:r>
      <w:r w:rsidRPr="002C4FDA">
        <w:rPr>
          <w:rFonts w:ascii="Arial" w:hAnsi="Arial" w:cs="Arial"/>
          <w:sz w:val="22"/>
          <w:szCs w:val="22"/>
        </w:rPr>
        <w:lastRenderedPageBreak/>
        <w:t xml:space="preserve">penalties, loss of funding or borrowing capacity.  The </w:t>
      </w:r>
      <w:r w:rsidRPr="002C4FDA">
        <w:rPr>
          <w:rFonts w:ascii="Arial" w:hAnsi="Arial" w:cs="Arial"/>
          <w:i/>
          <w:sz w:val="22"/>
          <w:szCs w:val="22"/>
        </w:rPr>
        <w:t>Master Financial Calendar</w:t>
      </w:r>
      <w:r w:rsidRPr="002C4FDA">
        <w:rPr>
          <w:rFonts w:ascii="Arial" w:hAnsi="Arial" w:cs="Arial"/>
          <w:sz w:val="22"/>
          <w:szCs w:val="22"/>
        </w:rPr>
        <w:t xml:space="preserve"> shall also schedule insurance renewal or other such deadlines to ensure that LHfH insurance policies do not expire.  Each calendar entry should designate an individual responsible for completing the task and the Executive Director is responsible for overseeing that tasks are completed.</w:t>
      </w:r>
    </w:p>
    <w:p w:rsidR="00A4183E" w:rsidRPr="002C4FDA" w:rsidRDefault="00A4183E" w:rsidP="00A4183E">
      <w:pPr>
        <w:ind w:left="-180"/>
        <w:rPr>
          <w:rFonts w:ascii="Arial" w:hAnsi="Arial" w:cs="Arial"/>
          <w:sz w:val="22"/>
          <w:szCs w:val="22"/>
        </w:rPr>
      </w:pPr>
    </w:p>
    <w:p w:rsidR="00A4183E" w:rsidRPr="002C4FDA" w:rsidRDefault="00A4183E" w:rsidP="00A4183E">
      <w:pPr>
        <w:ind w:left="-180"/>
        <w:rPr>
          <w:rFonts w:ascii="Arial" w:hAnsi="Arial" w:cs="Arial"/>
          <w:sz w:val="22"/>
          <w:szCs w:val="22"/>
        </w:rPr>
      </w:pPr>
    </w:p>
    <w:p w:rsidR="00A4183E" w:rsidRPr="002C4FDA" w:rsidRDefault="00A4183E" w:rsidP="00A4183E">
      <w:pPr>
        <w:pStyle w:val="ListParagraph"/>
        <w:numPr>
          <w:ilvl w:val="0"/>
          <w:numId w:val="2"/>
        </w:numPr>
        <w:rPr>
          <w:rFonts w:ascii="Arial" w:hAnsi="Arial" w:cs="Arial"/>
          <w:b/>
          <w:sz w:val="22"/>
          <w:szCs w:val="22"/>
        </w:rPr>
      </w:pPr>
      <w:r w:rsidRPr="002C4FDA">
        <w:rPr>
          <w:rFonts w:ascii="Arial" w:hAnsi="Arial" w:cs="Arial"/>
          <w:b/>
          <w:sz w:val="22"/>
          <w:szCs w:val="22"/>
        </w:rPr>
        <w:t>Donor Intent Policy</w:t>
      </w:r>
    </w:p>
    <w:p w:rsidR="00A4183E" w:rsidRPr="002C4FDA" w:rsidRDefault="00A4183E" w:rsidP="00A4183E">
      <w:pPr>
        <w:ind w:left="-540"/>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All contributions will be used for any purpose designated by the donor. Contributions designated for a specific home(s) can be used only for house costs listed in the House Pricing Policy which include an additional 10 percent of direct costs to cover indirect expenses incurred by LHfH in the production of the home.</w:t>
      </w:r>
    </w:p>
    <w:p w:rsidR="00A4183E" w:rsidRPr="002C4FDA" w:rsidRDefault="00A4183E" w:rsidP="00A4183E">
      <w:pPr>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Acceptance of designated contributions or contributions with mandates, such as construction time frames, shall be reviewed and approved by the EC unless a Board Resolution is not required to obtain the contribution.  This requirement is intended to ensure that impact of such requirements is fully vetted and strategies to meet requirements are developed.</w:t>
      </w:r>
    </w:p>
    <w:p w:rsidR="00A4183E" w:rsidRPr="002C4FDA" w:rsidRDefault="00A4183E" w:rsidP="00A4183E">
      <w:pPr>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In the event a contribution is not designated for a specific purpose, the funds shall be considered undesignated funds and be deposited in a general account and used in any accepted operations of LHfH.</w:t>
      </w:r>
    </w:p>
    <w:p w:rsidR="00A4183E" w:rsidRPr="002C4FDA" w:rsidRDefault="00A4183E" w:rsidP="00A4183E">
      <w:pPr>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Donors shall receive a written receipt documenting contributions as required by IRS guidelines.</w:t>
      </w:r>
    </w:p>
    <w:p w:rsidR="00A4183E" w:rsidRPr="002C4FDA" w:rsidRDefault="00A4183E" w:rsidP="00A4183E">
      <w:pPr>
        <w:ind w:left="-180"/>
        <w:rPr>
          <w:rFonts w:ascii="Arial" w:hAnsi="Arial" w:cs="Arial"/>
          <w:sz w:val="22"/>
          <w:szCs w:val="22"/>
        </w:rPr>
      </w:pPr>
    </w:p>
    <w:p w:rsidR="00A4183E" w:rsidRPr="002C4FDA" w:rsidRDefault="00A4183E" w:rsidP="00A4183E">
      <w:pPr>
        <w:ind w:left="-180"/>
        <w:rPr>
          <w:rFonts w:ascii="Arial" w:hAnsi="Arial" w:cs="Arial"/>
          <w:sz w:val="22"/>
          <w:szCs w:val="22"/>
        </w:rPr>
      </w:pPr>
    </w:p>
    <w:p w:rsidR="00A4183E" w:rsidRPr="002C4FDA" w:rsidRDefault="00A4183E" w:rsidP="00A4183E">
      <w:pPr>
        <w:pStyle w:val="ListParagraph"/>
        <w:numPr>
          <w:ilvl w:val="0"/>
          <w:numId w:val="2"/>
        </w:numPr>
        <w:rPr>
          <w:rFonts w:ascii="Arial" w:hAnsi="Arial" w:cs="Arial"/>
          <w:b/>
          <w:sz w:val="22"/>
          <w:szCs w:val="22"/>
        </w:rPr>
      </w:pPr>
      <w:r w:rsidRPr="002C4FDA">
        <w:rPr>
          <w:rFonts w:ascii="Arial" w:hAnsi="Arial" w:cs="Arial"/>
          <w:b/>
          <w:sz w:val="22"/>
          <w:szCs w:val="22"/>
        </w:rPr>
        <w:t>Ho</w:t>
      </w:r>
      <w:r>
        <w:rPr>
          <w:rFonts w:ascii="Arial" w:hAnsi="Arial" w:cs="Arial"/>
          <w:b/>
          <w:sz w:val="22"/>
          <w:szCs w:val="22"/>
        </w:rPr>
        <w:t>me</w:t>
      </w:r>
      <w:r w:rsidRPr="002C4FDA">
        <w:rPr>
          <w:rFonts w:ascii="Arial" w:hAnsi="Arial" w:cs="Arial"/>
          <w:b/>
          <w:sz w:val="22"/>
          <w:szCs w:val="22"/>
        </w:rPr>
        <w:t xml:space="preserve"> </w:t>
      </w:r>
      <w:r>
        <w:rPr>
          <w:rFonts w:ascii="Arial" w:hAnsi="Arial" w:cs="Arial"/>
          <w:b/>
          <w:sz w:val="22"/>
          <w:szCs w:val="22"/>
        </w:rPr>
        <w:t>Suitability and Res</w:t>
      </w:r>
      <w:r w:rsidRPr="002C4FDA">
        <w:rPr>
          <w:rFonts w:ascii="Arial" w:hAnsi="Arial" w:cs="Arial"/>
          <w:b/>
          <w:sz w:val="22"/>
          <w:szCs w:val="22"/>
        </w:rPr>
        <w:t xml:space="preserve">ale Policy </w:t>
      </w:r>
    </w:p>
    <w:p w:rsidR="00A4183E" w:rsidRPr="002C4FDA" w:rsidRDefault="00A4183E" w:rsidP="00A4183E">
      <w:pPr>
        <w:ind w:left="1620"/>
        <w:rPr>
          <w:rFonts w:ascii="Arial" w:hAnsi="Arial" w:cs="Arial"/>
          <w:b/>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In order to comply with LHfH charitable mission and the Covenant with HfHI to not sell houses for a profit as well as avoid risk of being taxed as unrelated business income; LHfH may not sell a house to buyers other than those qualifying under established income guidelines unless one of the following conditions exist:</w:t>
      </w:r>
    </w:p>
    <w:p w:rsidR="00A4183E" w:rsidRPr="002C4FDA" w:rsidRDefault="00A4183E" w:rsidP="00A4183E">
      <w:pPr>
        <w:ind w:left="360"/>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Selling a donated house or property that is unsuitable for use by the affiliate as a Habitat for Humanity house.</w:t>
      </w:r>
    </w:p>
    <w:p w:rsidR="00A4183E" w:rsidRPr="002C4FDA" w:rsidRDefault="00A4183E" w:rsidP="00A4183E">
      <w:pPr>
        <w:ind w:left="360"/>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Selling houses reclaimed through the affiliate’s foreclosure process that are unsuitable for reuse as Habitat for Humanity house.</w:t>
      </w:r>
    </w:p>
    <w:p w:rsidR="00A4183E" w:rsidRPr="002C4FDA" w:rsidRDefault="00A4183E" w:rsidP="00A4183E">
      <w:pPr>
        <w:ind w:left="360"/>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Selling newly constructed houses or rehabs that become unsuitable for use as Habitat for Humanity house after construction due to circumstances beyond LHfH reasonable control or not foreseeable by LHfH.</w:t>
      </w:r>
    </w:p>
    <w:p w:rsidR="00A4183E" w:rsidRPr="002C4FDA" w:rsidRDefault="00A4183E" w:rsidP="00A4183E">
      <w:pPr>
        <w:ind w:left="360"/>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Participating in mixed-income developments which further the mission of Habitat for Humanity in compliance with HfHI policies on mixed-income developments.</w:t>
      </w:r>
    </w:p>
    <w:p w:rsidR="00A4183E" w:rsidRPr="002C4FDA" w:rsidRDefault="00A4183E" w:rsidP="00A4183E">
      <w:pPr>
        <w:ind w:left="360"/>
        <w:rPr>
          <w:rFonts w:ascii="Arial" w:hAnsi="Arial" w:cs="Arial"/>
          <w:b/>
          <w:sz w:val="22"/>
          <w:szCs w:val="22"/>
        </w:rPr>
      </w:pPr>
    </w:p>
    <w:p w:rsidR="00A4183E" w:rsidRPr="002C4FDA" w:rsidRDefault="00A4183E" w:rsidP="00A4183E">
      <w:pPr>
        <w:ind w:left="360"/>
        <w:rPr>
          <w:rFonts w:ascii="Arial" w:hAnsi="Arial" w:cs="Arial"/>
          <w:sz w:val="22"/>
          <w:szCs w:val="22"/>
        </w:rPr>
      </w:pPr>
    </w:p>
    <w:p w:rsidR="00A4183E" w:rsidRPr="002C4FDA" w:rsidRDefault="00A4183E" w:rsidP="00A4183E">
      <w:pPr>
        <w:pStyle w:val="ListParagraph"/>
        <w:numPr>
          <w:ilvl w:val="0"/>
          <w:numId w:val="2"/>
        </w:numPr>
        <w:rPr>
          <w:rFonts w:ascii="Arial" w:hAnsi="Arial" w:cs="Arial"/>
          <w:b/>
          <w:sz w:val="22"/>
          <w:szCs w:val="22"/>
        </w:rPr>
      </w:pPr>
      <w:r w:rsidRPr="002C4FDA">
        <w:rPr>
          <w:rFonts w:ascii="Arial" w:hAnsi="Arial" w:cs="Arial"/>
          <w:b/>
          <w:sz w:val="22"/>
          <w:szCs w:val="22"/>
        </w:rPr>
        <w:t>Budget Policy</w:t>
      </w:r>
    </w:p>
    <w:p w:rsidR="00A4183E" w:rsidRPr="002C4FDA" w:rsidRDefault="00A4183E" w:rsidP="00A4183E">
      <w:pPr>
        <w:ind w:left="1620"/>
        <w:rPr>
          <w:rFonts w:ascii="Arial" w:hAnsi="Arial" w:cs="Arial"/>
          <w:b/>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Tithe.  LHfH will tithe 10 percent of its undesignated cash contributions to Habitat’s international work.</w:t>
      </w:r>
    </w:p>
    <w:p w:rsidR="00A4183E" w:rsidRPr="002C4FDA" w:rsidRDefault="00A4183E" w:rsidP="00A4183E">
      <w:pPr>
        <w:ind w:left="1620"/>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 xml:space="preserve">The Board will adopt a written budget each year.  The budget shall include anticipated sources of income and expected expense for the calendar year.  The budget categories shall coincide with accounting categories used in the bookkeeping system. </w:t>
      </w:r>
    </w:p>
    <w:p w:rsidR="00A4183E" w:rsidRPr="002C4FDA" w:rsidRDefault="00A4183E" w:rsidP="00A4183E">
      <w:pPr>
        <w:ind w:left="720"/>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lastRenderedPageBreak/>
        <w:t xml:space="preserve">LHfH shall not plan to have one single external source of revenue, including government funds, which exceed 30 percent of the affiliate budget. </w:t>
      </w:r>
      <w:r w:rsidRPr="002C4FDA">
        <w:rPr>
          <w:rFonts w:ascii="Arial" w:hAnsi="Arial" w:cs="Arial"/>
          <w:sz w:val="22"/>
          <w:szCs w:val="22"/>
          <w:vertAlign w:val="superscript"/>
        </w:rPr>
        <w:t xml:space="preserve">    </w:t>
      </w:r>
    </w:p>
    <w:p w:rsidR="00A4183E" w:rsidRPr="002C4FDA" w:rsidRDefault="00A4183E" w:rsidP="00A4183E">
      <w:pPr>
        <w:ind w:left="720"/>
        <w:rPr>
          <w:rFonts w:ascii="Arial" w:hAnsi="Arial" w:cs="Arial"/>
          <w:sz w:val="22"/>
          <w:szCs w:val="22"/>
        </w:rPr>
      </w:pPr>
    </w:p>
    <w:p w:rsidR="00A4183E" w:rsidRPr="002C4FDA" w:rsidRDefault="00A4183E" w:rsidP="00A4183E">
      <w:pPr>
        <w:pStyle w:val="ListParagraph"/>
        <w:numPr>
          <w:ilvl w:val="0"/>
          <w:numId w:val="2"/>
        </w:numPr>
        <w:rPr>
          <w:rFonts w:ascii="Arial" w:hAnsi="Arial" w:cs="Arial"/>
          <w:b/>
          <w:sz w:val="22"/>
          <w:szCs w:val="22"/>
        </w:rPr>
      </w:pPr>
      <w:r w:rsidRPr="002C4FDA">
        <w:rPr>
          <w:rFonts w:ascii="Arial" w:hAnsi="Arial" w:cs="Arial"/>
          <w:b/>
          <w:sz w:val="22"/>
          <w:szCs w:val="22"/>
        </w:rPr>
        <w:t>Insurance Policy</w:t>
      </w:r>
    </w:p>
    <w:p w:rsidR="00A4183E" w:rsidRPr="002C4FDA" w:rsidRDefault="00A4183E" w:rsidP="00A4183E">
      <w:pPr>
        <w:ind w:left="1620"/>
        <w:rPr>
          <w:rFonts w:ascii="Arial" w:hAnsi="Arial" w:cs="Arial"/>
          <w:b/>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LHfH will at all times maintain comprehensive general liability insurance and director’s and officer’s liability insurance covering operations. The Board shall approve the insurance policies annually</w:t>
      </w:r>
      <w:r>
        <w:rPr>
          <w:rFonts w:ascii="Arial" w:hAnsi="Arial" w:cs="Arial"/>
          <w:sz w:val="22"/>
          <w:szCs w:val="22"/>
        </w:rPr>
        <w:t xml:space="preserve"> in conjunction with budget approval</w:t>
      </w:r>
      <w:r w:rsidRPr="002C4FDA">
        <w:rPr>
          <w:rFonts w:ascii="Arial" w:hAnsi="Arial" w:cs="Arial"/>
          <w:sz w:val="22"/>
          <w:szCs w:val="22"/>
        </w:rPr>
        <w:t>.</w:t>
      </w:r>
      <w:r>
        <w:rPr>
          <w:rFonts w:ascii="Arial" w:hAnsi="Arial" w:cs="Arial"/>
          <w:sz w:val="22"/>
          <w:szCs w:val="22"/>
        </w:rPr>
        <w:t xml:space="preserve"> </w:t>
      </w:r>
      <w:r>
        <w:rPr>
          <w:rFonts w:ascii="Arial" w:hAnsi="Arial" w:cs="Arial"/>
          <w:color w:val="FF0000"/>
          <w:sz w:val="22"/>
          <w:szCs w:val="22"/>
        </w:rPr>
        <w:t xml:space="preserve"> </w:t>
      </w:r>
    </w:p>
    <w:p w:rsidR="00A4183E" w:rsidRPr="002C4FDA" w:rsidRDefault="00A4183E" w:rsidP="00A4183E">
      <w:pPr>
        <w:ind w:left="720"/>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LHfH will maintain Builders Risk and Volunteer Accident insurance.</w:t>
      </w:r>
      <w:r w:rsidRPr="002C4FDA">
        <w:rPr>
          <w:rFonts w:ascii="Arial" w:hAnsi="Arial" w:cs="Arial"/>
          <w:sz w:val="22"/>
          <w:szCs w:val="22"/>
          <w:vertAlign w:val="superscript"/>
        </w:rPr>
        <w:t xml:space="preserve"> </w:t>
      </w:r>
      <w:r w:rsidRPr="002C4FDA">
        <w:rPr>
          <w:rFonts w:ascii="Arial" w:hAnsi="Arial" w:cs="Arial"/>
          <w:sz w:val="22"/>
          <w:szCs w:val="22"/>
        </w:rPr>
        <w:t>The Board shall approve the insurance policies annually</w:t>
      </w:r>
      <w:r>
        <w:rPr>
          <w:rFonts w:ascii="Arial" w:hAnsi="Arial" w:cs="Arial"/>
          <w:sz w:val="22"/>
          <w:szCs w:val="22"/>
        </w:rPr>
        <w:t xml:space="preserve"> in conjunction with budget approval</w:t>
      </w:r>
      <w:r w:rsidRPr="002C4FDA">
        <w:rPr>
          <w:rFonts w:ascii="Arial" w:hAnsi="Arial" w:cs="Arial"/>
          <w:sz w:val="22"/>
          <w:szCs w:val="22"/>
        </w:rPr>
        <w:t>.</w:t>
      </w:r>
      <w:r>
        <w:rPr>
          <w:rFonts w:ascii="Arial" w:hAnsi="Arial" w:cs="Arial"/>
          <w:sz w:val="22"/>
          <w:szCs w:val="22"/>
        </w:rPr>
        <w:t xml:space="preserve"> </w:t>
      </w:r>
    </w:p>
    <w:p w:rsidR="00A4183E" w:rsidRPr="002C4FDA" w:rsidRDefault="00A4183E" w:rsidP="00A4183E">
      <w:pPr>
        <w:ind w:left="720"/>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LHfH will carry worker’s compensation insurance.</w:t>
      </w:r>
    </w:p>
    <w:p w:rsidR="00A4183E" w:rsidRPr="002C4FDA" w:rsidRDefault="00A4183E" w:rsidP="00A4183E">
      <w:pPr>
        <w:ind w:left="720"/>
        <w:rPr>
          <w:rFonts w:ascii="Arial" w:hAnsi="Arial" w:cs="Arial"/>
          <w:sz w:val="22"/>
          <w:szCs w:val="22"/>
        </w:rPr>
      </w:pPr>
    </w:p>
    <w:p w:rsidR="00A4183E" w:rsidRPr="002C4FDA" w:rsidRDefault="00A4183E" w:rsidP="00A4183E">
      <w:pPr>
        <w:ind w:left="720"/>
        <w:rPr>
          <w:rFonts w:ascii="Arial" w:hAnsi="Arial" w:cs="Arial"/>
          <w:sz w:val="22"/>
          <w:szCs w:val="22"/>
        </w:rPr>
      </w:pPr>
    </w:p>
    <w:p w:rsidR="00A4183E" w:rsidRPr="002C4FDA" w:rsidRDefault="00A4183E" w:rsidP="00A4183E">
      <w:pPr>
        <w:pStyle w:val="ListParagraph"/>
        <w:numPr>
          <w:ilvl w:val="0"/>
          <w:numId w:val="2"/>
        </w:numPr>
        <w:rPr>
          <w:rFonts w:ascii="Arial" w:hAnsi="Arial" w:cs="Arial"/>
          <w:b/>
          <w:sz w:val="22"/>
          <w:szCs w:val="22"/>
        </w:rPr>
      </w:pPr>
      <w:r w:rsidRPr="002C4FDA">
        <w:rPr>
          <w:rFonts w:ascii="Arial" w:hAnsi="Arial" w:cs="Arial"/>
          <w:b/>
          <w:sz w:val="22"/>
          <w:szCs w:val="22"/>
        </w:rPr>
        <w:t>Laws and Regulations Policy</w:t>
      </w:r>
    </w:p>
    <w:p w:rsidR="00A4183E" w:rsidRPr="002C4FDA" w:rsidRDefault="00A4183E" w:rsidP="00A4183E">
      <w:pPr>
        <w:rPr>
          <w:rFonts w:ascii="Arial" w:hAnsi="Arial" w:cs="Arial"/>
          <w:b/>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 xml:space="preserve">LHfH will comply with all applicable laws, rules, regulations, orders, decrees, judgments and other governmental acts or other restrictions (“Laws”). </w:t>
      </w:r>
    </w:p>
    <w:p w:rsidR="00A4183E" w:rsidRPr="002C4FDA" w:rsidRDefault="00A4183E" w:rsidP="00A4183E">
      <w:pPr>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LHfH will comply will all applicable Tax Laws to preserve the inclusion in the HFHI group exemption under Section 501(c)(3) of the Internal Revenue Code (“Code”).</w:t>
      </w:r>
      <w:r w:rsidRPr="002C4FDA">
        <w:rPr>
          <w:rFonts w:ascii="Arial" w:hAnsi="Arial" w:cs="Arial"/>
          <w:sz w:val="22"/>
          <w:szCs w:val="22"/>
          <w:vertAlign w:val="superscript"/>
        </w:rPr>
        <w:t xml:space="preserve"> </w:t>
      </w:r>
    </w:p>
    <w:p w:rsidR="00A4183E" w:rsidRPr="002C4FDA" w:rsidRDefault="00A4183E" w:rsidP="00A4183E">
      <w:pPr>
        <w:rPr>
          <w:rFonts w:ascii="Arial" w:hAnsi="Arial" w:cs="Arial"/>
          <w:sz w:val="22"/>
          <w:szCs w:val="22"/>
        </w:rPr>
      </w:pPr>
    </w:p>
    <w:p w:rsidR="00A4183E" w:rsidRPr="002C4FDA" w:rsidRDefault="00A4183E" w:rsidP="00A4183E">
      <w:pPr>
        <w:pStyle w:val="ListParagraph"/>
        <w:numPr>
          <w:ilvl w:val="0"/>
          <w:numId w:val="2"/>
        </w:numPr>
        <w:rPr>
          <w:rFonts w:ascii="Arial" w:hAnsi="Arial" w:cs="Arial"/>
          <w:b/>
          <w:sz w:val="22"/>
          <w:szCs w:val="22"/>
        </w:rPr>
      </w:pPr>
      <w:r w:rsidRPr="002C4FDA">
        <w:rPr>
          <w:rFonts w:ascii="Arial" w:hAnsi="Arial" w:cs="Arial"/>
          <w:b/>
          <w:sz w:val="22"/>
          <w:szCs w:val="22"/>
        </w:rPr>
        <w:t>Accounting Record Retention Policy</w:t>
      </w:r>
    </w:p>
    <w:p w:rsidR="00A4183E" w:rsidRPr="002C4FDA" w:rsidRDefault="00A4183E" w:rsidP="00A4183E">
      <w:pPr>
        <w:ind w:left="1620"/>
        <w:rPr>
          <w:rFonts w:ascii="Arial" w:hAnsi="Arial" w:cs="Arial"/>
          <w:b/>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All LHfH documents, including copies of recorded documents, shall be maintained at the LHfH offices.  Confidential, valuable, or sensitive information shall be kept in locked cabinets or drawers.  Legal or negotiable instruments, including original promissory notes (only a copy is provided to Homeowners), shall be kept in fireproof storage.</w:t>
      </w:r>
    </w:p>
    <w:p w:rsidR="00A4183E" w:rsidRPr="002C4FDA" w:rsidRDefault="00A4183E" w:rsidP="00A4183E">
      <w:pPr>
        <w:ind w:left="630"/>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Pr>
          <w:rFonts w:ascii="Arial" w:hAnsi="Arial" w:cs="Arial"/>
          <w:sz w:val="22"/>
          <w:szCs w:val="22"/>
        </w:rPr>
        <w:t xml:space="preserve">LHfH </w:t>
      </w:r>
      <w:r w:rsidRPr="002C4FDA">
        <w:rPr>
          <w:rFonts w:ascii="Arial" w:hAnsi="Arial" w:cs="Arial"/>
          <w:sz w:val="22"/>
          <w:szCs w:val="22"/>
        </w:rPr>
        <w:t>shall include record-keeping procedures for filing, tracking and updating financial records as required by IRS, HfHI, or agreements with funding organizations.</w:t>
      </w:r>
    </w:p>
    <w:p w:rsidR="00A4183E" w:rsidRPr="002C4FDA" w:rsidRDefault="00A4183E" w:rsidP="00A4183E">
      <w:pPr>
        <w:ind w:left="1800"/>
        <w:rPr>
          <w:rFonts w:ascii="Arial" w:hAnsi="Arial" w:cs="Arial"/>
          <w:sz w:val="22"/>
          <w:szCs w:val="22"/>
        </w:rPr>
      </w:pPr>
      <w:r w:rsidRPr="002C4FDA">
        <w:rPr>
          <w:rFonts w:ascii="Arial" w:hAnsi="Arial" w:cs="Arial"/>
          <w:sz w:val="22"/>
          <w:szCs w:val="22"/>
        </w:rPr>
        <w:t>Original Promissory Notes</w:t>
      </w:r>
    </w:p>
    <w:p w:rsidR="00A4183E" w:rsidRPr="002C4FDA" w:rsidRDefault="00A4183E" w:rsidP="00A4183E">
      <w:pPr>
        <w:ind w:left="1800"/>
        <w:rPr>
          <w:rFonts w:ascii="Arial" w:hAnsi="Arial" w:cs="Arial"/>
          <w:sz w:val="22"/>
          <w:szCs w:val="22"/>
        </w:rPr>
      </w:pPr>
      <w:r w:rsidRPr="002C4FDA">
        <w:rPr>
          <w:rFonts w:ascii="Arial" w:hAnsi="Arial" w:cs="Arial"/>
          <w:sz w:val="22"/>
          <w:szCs w:val="22"/>
        </w:rPr>
        <w:t>Mortgages and other recorded documents</w:t>
      </w:r>
    </w:p>
    <w:p w:rsidR="00A4183E" w:rsidRPr="002C4FDA" w:rsidRDefault="00A4183E" w:rsidP="00A4183E">
      <w:pPr>
        <w:ind w:left="1800"/>
        <w:rPr>
          <w:rFonts w:ascii="Arial" w:hAnsi="Arial" w:cs="Arial"/>
          <w:sz w:val="22"/>
          <w:szCs w:val="22"/>
        </w:rPr>
      </w:pPr>
      <w:r w:rsidRPr="002C4FDA">
        <w:rPr>
          <w:rFonts w:ascii="Arial" w:hAnsi="Arial" w:cs="Arial"/>
          <w:sz w:val="22"/>
          <w:szCs w:val="22"/>
        </w:rPr>
        <w:t>Contracts, deeds</w:t>
      </w:r>
    </w:p>
    <w:p w:rsidR="00A4183E" w:rsidRPr="002C4FDA" w:rsidRDefault="00A4183E" w:rsidP="00A4183E">
      <w:pPr>
        <w:ind w:left="1800"/>
        <w:rPr>
          <w:rFonts w:ascii="Arial" w:hAnsi="Arial" w:cs="Arial"/>
          <w:sz w:val="22"/>
          <w:szCs w:val="22"/>
        </w:rPr>
      </w:pPr>
      <w:r w:rsidRPr="002C4FDA">
        <w:rPr>
          <w:rFonts w:ascii="Arial" w:hAnsi="Arial" w:cs="Arial"/>
          <w:sz w:val="22"/>
          <w:szCs w:val="22"/>
        </w:rPr>
        <w:t>Accounting Journals (general, cash receipts, payroll, disbursements)</w:t>
      </w:r>
    </w:p>
    <w:p w:rsidR="00A4183E" w:rsidRPr="002C4FDA" w:rsidRDefault="00A4183E" w:rsidP="00A4183E">
      <w:pPr>
        <w:ind w:left="1800"/>
        <w:rPr>
          <w:rFonts w:ascii="Arial" w:hAnsi="Arial" w:cs="Arial"/>
          <w:sz w:val="22"/>
          <w:szCs w:val="22"/>
        </w:rPr>
      </w:pPr>
      <w:r w:rsidRPr="002C4FDA">
        <w:rPr>
          <w:rFonts w:ascii="Arial" w:hAnsi="Arial" w:cs="Arial"/>
          <w:sz w:val="22"/>
          <w:szCs w:val="22"/>
        </w:rPr>
        <w:t>General ledger</w:t>
      </w:r>
    </w:p>
    <w:p w:rsidR="00A4183E" w:rsidRPr="002C4FDA" w:rsidRDefault="00A4183E" w:rsidP="00A4183E">
      <w:pPr>
        <w:ind w:left="1800"/>
        <w:rPr>
          <w:rFonts w:ascii="Arial" w:hAnsi="Arial" w:cs="Arial"/>
          <w:sz w:val="22"/>
          <w:szCs w:val="22"/>
        </w:rPr>
      </w:pPr>
      <w:r w:rsidRPr="002C4FDA">
        <w:rPr>
          <w:rFonts w:ascii="Arial" w:hAnsi="Arial" w:cs="Arial"/>
          <w:sz w:val="22"/>
          <w:szCs w:val="22"/>
        </w:rPr>
        <w:t>Bank statements</w:t>
      </w:r>
    </w:p>
    <w:p w:rsidR="00A4183E" w:rsidRPr="002C4FDA" w:rsidRDefault="00A4183E" w:rsidP="00A4183E">
      <w:pPr>
        <w:ind w:left="1800"/>
        <w:rPr>
          <w:rFonts w:ascii="Arial" w:hAnsi="Arial" w:cs="Arial"/>
          <w:sz w:val="22"/>
          <w:szCs w:val="22"/>
        </w:rPr>
      </w:pPr>
      <w:r w:rsidRPr="002C4FDA">
        <w:rPr>
          <w:rFonts w:ascii="Arial" w:hAnsi="Arial" w:cs="Arial"/>
          <w:sz w:val="22"/>
          <w:szCs w:val="22"/>
        </w:rPr>
        <w:t>Canceled/imaged checks</w:t>
      </w:r>
    </w:p>
    <w:p w:rsidR="00A4183E" w:rsidRPr="002C4FDA" w:rsidRDefault="00A4183E" w:rsidP="00A4183E">
      <w:pPr>
        <w:ind w:left="1800"/>
        <w:rPr>
          <w:rFonts w:ascii="Arial" w:hAnsi="Arial" w:cs="Arial"/>
          <w:sz w:val="22"/>
          <w:szCs w:val="22"/>
        </w:rPr>
      </w:pPr>
      <w:r w:rsidRPr="002C4FDA">
        <w:rPr>
          <w:rFonts w:ascii="Arial" w:hAnsi="Arial" w:cs="Arial"/>
          <w:sz w:val="22"/>
          <w:szCs w:val="22"/>
        </w:rPr>
        <w:t>Cash Register tapes</w:t>
      </w:r>
    </w:p>
    <w:p w:rsidR="00A4183E" w:rsidRPr="002C4FDA" w:rsidRDefault="00A4183E" w:rsidP="00A4183E">
      <w:pPr>
        <w:ind w:left="1800"/>
        <w:rPr>
          <w:rFonts w:ascii="Arial" w:hAnsi="Arial" w:cs="Arial"/>
          <w:sz w:val="22"/>
          <w:szCs w:val="22"/>
        </w:rPr>
      </w:pPr>
      <w:r w:rsidRPr="002C4FDA">
        <w:rPr>
          <w:rFonts w:ascii="Arial" w:hAnsi="Arial" w:cs="Arial"/>
          <w:sz w:val="22"/>
          <w:szCs w:val="22"/>
        </w:rPr>
        <w:t>Receipts and invoices</w:t>
      </w:r>
    </w:p>
    <w:p w:rsidR="00A4183E" w:rsidRPr="002C4FDA" w:rsidRDefault="00A4183E" w:rsidP="00A4183E">
      <w:pPr>
        <w:ind w:left="1800"/>
        <w:rPr>
          <w:rFonts w:ascii="Arial" w:hAnsi="Arial" w:cs="Arial"/>
          <w:sz w:val="22"/>
          <w:szCs w:val="22"/>
        </w:rPr>
      </w:pPr>
      <w:r w:rsidRPr="002C4FDA">
        <w:rPr>
          <w:rFonts w:ascii="Arial" w:hAnsi="Arial" w:cs="Arial"/>
          <w:sz w:val="22"/>
          <w:szCs w:val="22"/>
        </w:rPr>
        <w:t>Purchase agreements for assets</w:t>
      </w:r>
    </w:p>
    <w:p w:rsidR="00A4183E" w:rsidRDefault="00A4183E" w:rsidP="00A4183E">
      <w:pPr>
        <w:ind w:left="1800"/>
        <w:rPr>
          <w:rFonts w:ascii="Arial" w:hAnsi="Arial" w:cs="Arial"/>
          <w:sz w:val="22"/>
          <w:szCs w:val="22"/>
        </w:rPr>
      </w:pPr>
      <w:r w:rsidRPr="002C4FDA">
        <w:rPr>
          <w:rFonts w:ascii="Arial" w:hAnsi="Arial" w:cs="Arial"/>
          <w:sz w:val="22"/>
          <w:szCs w:val="22"/>
        </w:rPr>
        <w:t>Depreciations Schedule</w:t>
      </w:r>
    </w:p>
    <w:p w:rsidR="00A4183E" w:rsidRPr="00EC72C0" w:rsidRDefault="00A4183E" w:rsidP="00A4183E">
      <w:pPr>
        <w:ind w:left="1800"/>
        <w:rPr>
          <w:rFonts w:ascii="Arial" w:hAnsi="Arial" w:cs="Arial"/>
          <w:sz w:val="22"/>
          <w:szCs w:val="22"/>
        </w:rPr>
      </w:pPr>
      <w:r w:rsidRPr="00EC72C0">
        <w:rPr>
          <w:rFonts w:ascii="Arial" w:hAnsi="Arial" w:cs="Arial"/>
          <w:sz w:val="22"/>
          <w:szCs w:val="22"/>
        </w:rPr>
        <w:t>LHfH Retention Policy (as attachment)</w:t>
      </w:r>
    </w:p>
    <w:p w:rsidR="00A4183E" w:rsidRPr="002C4FDA" w:rsidRDefault="00A4183E" w:rsidP="00A4183E">
      <w:pPr>
        <w:ind w:left="2070"/>
        <w:rPr>
          <w:rFonts w:ascii="Arial" w:hAnsi="Arial" w:cs="Arial"/>
          <w:sz w:val="22"/>
          <w:szCs w:val="22"/>
        </w:rPr>
      </w:pPr>
    </w:p>
    <w:p w:rsidR="00A4183E" w:rsidRPr="002C4FDA" w:rsidRDefault="00A4183E" w:rsidP="00A4183E">
      <w:pPr>
        <w:pStyle w:val="ListParagraph"/>
        <w:numPr>
          <w:ilvl w:val="0"/>
          <w:numId w:val="2"/>
        </w:numPr>
        <w:rPr>
          <w:rFonts w:ascii="Arial" w:hAnsi="Arial" w:cs="Arial"/>
          <w:b/>
          <w:sz w:val="22"/>
          <w:szCs w:val="22"/>
        </w:rPr>
      </w:pPr>
      <w:r w:rsidRPr="002C4FDA">
        <w:rPr>
          <w:rFonts w:ascii="Arial" w:hAnsi="Arial" w:cs="Arial"/>
          <w:b/>
          <w:sz w:val="22"/>
          <w:szCs w:val="22"/>
        </w:rPr>
        <w:t>Loan Originator</w:t>
      </w:r>
    </w:p>
    <w:p w:rsidR="00A4183E" w:rsidRPr="002C4FDA" w:rsidRDefault="00A4183E" w:rsidP="00A4183E">
      <w:pPr>
        <w:pStyle w:val="ListParagraph"/>
        <w:ind w:left="360"/>
        <w:rPr>
          <w:rFonts w:ascii="Arial" w:hAnsi="Arial" w:cs="Arial"/>
          <w:b/>
          <w:sz w:val="22"/>
          <w:szCs w:val="22"/>
        </w:rPr>
      </w:pPr>
    </w:p>
    <w:p w:rsidR="00A4183E" w:rsidRPr="002C4FDA" w:rsidRDefault="00A4183E" w:rsidP="00A4183E">
      <w:pPr>
        <w:pStyle w:val="ListParagraph"/>
        <w:numPr>
          <w:ilvl w:val="1"/>
          <w:numId w:val="2"/>
        </w:numPr>
        <w:rPr>
          <w:rFonts w:ascii="Arial" w:hAnsi="Arial" w:cs="Arial"/>
          <w:b/>
          <w:sz w:val="22"/>
          <w:szCs w:val="22"/>
        </w:rPr>
      </w:pPr>
      <w:r w:rsidRPr="002C4FDA">
        <w:rPr>
          <w:rFonts w:ascii="Arial" w:hAnsi="Arial" w:cs="Arial"/>
          <w:sz w:val="22"/>
          <w:szCs w:val="22"/>
        </w:rPr>
        <w:t>In compliance with the Truth in Lending guidance of the Consumer Financial Protection Bureau, the affiliate will certify all appropriate people (staff and Board) as loan originators.  Any staff member who performs any of these tasks shall meet the requirements to be designated a loan originator:</w:t>
      </w:r>
    </w:p>
    <w:p w:rsidR="00A4183E" w:rsidRPr="002C4FDA" w:rsidRDefault="00A4183E" w:rsidP="00A4183E">
      <w:pPr>
        <w:ind w:left="288"/>
        <w:rPr>
          <w:rFonts w:ascii="Arial" w:hAnsi="Arial" w:cs="Arial"/>
          <w:sz w:val="22"/>
          <w:szCs w:val="22"/>
        </w:rPr>
      </w:pPr>
    </w:p>
    <w:p w:rsidR="00A4183E" w:rsidRPr="002C4FDA" w:rsidRDefault="00A4183E" w:rsidP="00A4183E">
      <w:pPr>
        <w:ind w:left="1512" w:firstLine="720"/>
        <w:rPr>
          <w:rFonts w:ascii="Arial" w:hAnsi="Arial" w:cs="Arial"/>
          <w:sz w:val="22"/>
          <w:szCs w:val="22"/>
        </w:rPr>
      </w:pPr>
      <w:r w:rsidRPr="002C4FDA">
        <w:rPr>
          <w:rFonts w:ascii="Arial" w:hAnsi="Arial" w:cs="Arial"/>
          <w:sz w:val="22"/>
          <w:szCs w:val="22"/>
        </w:rPr>
        <w:t>Taking an application for purchase money mortgage or repair loan secured by real property</w:t>
      </w:r>
    </w:p>
    <w:p w:rsidR="00A4183E" w:rsidRPr="002C4FDA" w:rsidRDefault="00A4183E" w:rsidP="00A4183E">
      <w:pPr>
        <w:ind w:left="1440" w:firstLine="720"/>
        <w:rPr>
          <w:rFonts w:ascii="Arial" w:hAnsi="Arial" w:cs="Arial"/>
          <w:sz w:val="22"/>
          <w:szCs w:val="22"/>
        </w:rPr>
      </w:pPr>
      <w:r w:rsidRPr="002C4FDA">
        <w:rPr>
          <w:rFonts w:ascii="Arial" w:hAnsi="Arial" w:cs="Arial"/>
          <w:sz w:val="22"/>
          <w:szCs w:val="22"/>
        </w:rPr>
        <w:t xml:space="preserve">Arranging a credit transaction </w:t>
      </w:r>
    </w:p>
    <w:p w:rsidR="00A4183E" w:rsidRPr="002C4FDA" w:rsidRDefault="00A4183E" w:rsidP="00A4183E">
      <w:pPr>
        <w:ind w:left="1440" w:firstLine="720"/>
        <w:rPr>
          <w:rFonts w:ascii="Arial" w:hAnsi="Arial" w:cs="Arial"/>
          <w:sz w:val="22"/>
          <w:szCs w:val="22"/>
        </w:rPr>
      </w:pPr>
      <w:r w:rsidRPr="002C4FDA">
        <w:rPr>
          <w:rFonts w:ascii="Arial" w:hAnsi="Arial" w:cs="Arial"/>
          <w:sz w:val="22"/>
          <w:szCs w:val="22"/>
        </w:rPr>
        <w:lastRenderedPageBreak/>
        <w:t xml:space="preserve">Assisting a consumer in applying for credit </w:t>
      </w:r>
    </w:p>
    <w:p w:rsidR="00A4183E" w:rsidRPr="002C4FDA" w:rsidRDefault="00A4183E" w:rsidP="00A4183E">
      <w:pPr>
        <w:ind w:left="2160"/>
        <w:rPr>
          <w:rFonts w:ascii="Arial" w:hAnsi="Arial" w:cs="Arial"/>
          <w:sz w:val="22"/>
          <w:szCs w:val="22"/>
        </w:rPr>
      </w:pPr>
      <w:r w:rsidRPr="002C4FDA">
        <w:rPr>
          <w:rFonts w:ascii="Arial" w:hAnsi="Arial" w:cs="Arial"/>
          <w:sz w:val="22"/>
          <w:szCs w:val="22"/>
        </w:rPr>
        <w:t xml:space="preserve">Offering or negotiating credit terms </w:t>
      </w:r>
    </w:p>
    <w:p w:rsidR="00A4183E" w:rsidRPr="002C4FDA" w:rsidRDefault="00A4183E" w:rsidP="00A4183E">
      <w:pPr>
        <w:ind w:left="1440"/>
        <w:rPr>
          <w:rFonts w:ascii="Arial" w:hAnsi="Arial" w:cs="Arial"/>
          <w:sz w:val="22"/>
          <w:szCs w:val="22"/>
        </w:rPr>
      </w:pPr>
      <w:r w:rsidRPr="002C4FDA">
        <w:rPr>
          <w:rFonts w:ascii="Arial" w:hAnsi="Arial" w:cs="Arial"/>
          <w:sz w:val="22"/>
          <w:szCs w:val="22"/>
        </w:rPr>
        <w:t xml:space="preserve">Making an extension of credit </w:t>
      </w:r>
    </w:p>
    <w:p w:rsidR="00A4183E" w:rsidRPr="002C4FDA" w:rsidRDefault="00A4183E" w:rsidP="00A4183E">
      <w:pPr>
        <w:ind w:left="1440"/>
        <w:rPr>
          <w:rFonts w:ascii="Arial" w:hAnsi="Arial" w:cs="Arial"/>
          <w:sz w:val="22"/>
          <w:szCs w:val="22"/>
        </w:rPr>
      </w:pPr>
      <w:r w:rsidRPr="002C4FDA">
        <w:rPr>
          <w:rFonts w:ascii="Arial" w:hAnsi="Arial" w:cs="Arial"/>
          <w:sz w:val="22"/>
          <w:szCs w:val="22"/>
        </w:rPr>
        <w:t xml:space="preserve">Referring a consumer to a loan originator or creditor </w:t>
      </w:r>
    </w:p>
    <w:p w:rsidR="00A4183E" w:rsidRPr="002C4FDA" w:rsidRDefault="00A4183E" w:rsidP="00A4183E">
      <w:pPr>
        <w:ind w:left="1440"/>
        <w:rPr>
          <w:rFonts w:ascii="Arial" w:hAnsi="Arial" w:cs="Arial"/>
          <w:sz w:val="22"/>
          <w:szCs w:val="22"/>
        </w:rPr>
      </w:pPr>
      <w:r w:rsidRPr="002C4FDA">
        <w:rPr>
          <w:rFonts w:ascii="Arial" w:hAnsi="Arial" w:cs="Arial"/>
          <w:sz w:val="22"/>
          <w:szCs w:val="22"/>
        </w:rPr>
        <w:t xml:space="preserve">Advertising or communicating to the public that you can or will perform any loan origination services  </w:t>
      </w:r>
    </w:p>
    <w:p w:rsidR="00A4183E" w:rsidRPr="002C4FDA" w:rsidRDefault="00A4183E" w:rsidP="00A4183E">
      <w:pPr>
        <w:ind w:left="1800"/>
        <w:rPr>
          <w:rFonts w:ascii="Arial" w:hAnsi="Arial" w:cs="Arial"/>
          <w:sz w:val="22"/>
          <w:szCs w:val="22"/>
        </w:rPr>
      </w:pPr>
    </w:p>
    <w:p w:rsidR="00A4183E" w:rsidRPr="002C4FDA" w:rsidRDefault="00A4183E" w:rsidP="00A4183E">
      <w:pPr>
        <w:pStyle w:val="ListParagraph"/>
        <w:numPr>
          <w:ilvl w:val="1"/>
          <w:numId w:val="2"/>
        </w:numPr>
        <w:tabs>
          <w:tab w:val="left" w:pos="810"/>
        </w:tabs>
        <w:rPr>
          <w:rFonts w:ascii="Arial" w:hAnsi="Arial" w:cs="Arial"/>
          <w:sz w:val="22"/>
          <w:szCs w:val="22"/>
        </w:rPr>
      </w:pPr>
      <w:r w:rsidRPr="002C4FDA">
        <w:rPr>
          <w:rFonts w:ascii="Arial" w:hAnsi="Arial" w:cs="Arial"/>
          <w:sz w:val="22"/>
          <w:szCs w:val="22"/>
        </w:rPr>
        <w:t>In addition, “Key Volunteers” performing these functions also must meet Loan Originator qualification.</w:t>
      </w:r>
    </w:p>
    <w:p w:rsidR="00A4183E" w:rsidRPr="002C4FDA" w:rsidRDefault="00A4183E" w:rsidP="00A4183E">
      <w:pPr>
        <w:tabs>
          <w:tab w:val="left" w:pos="810"/>
        </w:tabs>
        <w:ind w:left="288"/>
        <w:rPr>
          <w:rFonts w:ascii="Arial" w:hAnsi="Arial" w:cs="Arial"/>
          <w:sz w:val="22"/>
          <w:szCs w:val="22"/>
        </w:rPr>
      </w:pPr>
    </w:p>
    <w:p w:rsidR="00A4183E" w:rsidRPr="002C4FDA" w:rsidRDefault="00A4183E" w:rsidP="00A4183E">
      <w:pPr>
        <w:pStyle w:val="numberedparagraphs"/>
        <w:tabs>
          <w:tab w:val="clear" w:pos="1710"/>
        </w:tabs>
        <w:ind w:left="1440"/>
        <w:jc w:val="left"/>
        <w:rPr>
          <w:rFonts w:ascii="Arial" w:hAnsi="Arial" w:cs="Arial"/>
          <w:sz w:val="22"/>
          <w:szCs w:val="22"/>
        </w:rPr>
      </w:pPr>
      <w:r w:rsidRPr="002C4FDA">
        <w:rPr>
          <w:rFonts w:ascii="Arial" w:hAnsi="Arial" w:cs="Arial"/>
          <w:sz w:val="22"/>
          <w:szCs w:val="22"/>
        </w:rPr>
        <w:t>Staff and Board members who:</w:t>
      </w:r>
    </w:p>
    <w:p w:rsidR="00A4183E" w:rsidRPr="002C4FDA" w:rsidRDefault="00A4183E" w:rsidP="00A4183E">
      <w:pPr>
        <w:tabs>
          <w:tab w:val="left" w:pos="810"/>
        </w:tabs>
        <w:ind w:left="1440"/>
        <w:rPr>
          <w:rFonts w:ascii="Arial" w:hAnsi="Arial" w:cs="Arial"/>
          <w:sz w:val="22"/>
          <w:szCs w:val="22"/>
        </w:rPr>
      </w:pPr>
      <w:r w:rsidRPr="002C4FDA">
        <w:rPr>
          <w:rFonts w:ascii="Arial" w:hAnsi="Arial" w:cs="Arial"/>
          <w:iCs/>
          <w:sz w:val="22"/>
          <w:szCs w:val="22"/>
        </w:rPr>
        <w:t xml:space="preserve">Perform </w:t>
      </w:r>
      <w:r w:rsidRPr="002C4FDA">
        <w:rPr>
          <w:rFonts w:ascii="Arial" w:hAnsi="Arial" w:cs="Arial"/>
          <w:i/>
          <w:iCs/>
          <w:sz w:val="22"/>
          <w:szCs w:val="22"/>
        </w:rPr>
        <w:t xml:space="preserve">solely </w:t>
      </w:r>
      <w:r w:rsidRPr="002C4FDA">
        <w:rPr>
          <w:rFonts w:ascii="Arial" w:hAnsi="Arial" w:cs="Arial"/>
          <w:sz w:val="22"/>
          <w:szCs w:val="22"/>
        </w:rPr>
        <w:t>clerical or administrative tasks, including number crunching.</w:t>
      </w:r>
    </w:p>
    <w:p w:rsidR="00A4183E" w:rsidRPr="002C4FDA" w:rsidRDefault="00A4183E" w:rsidP="00A4183E">
      <w:pPr>
        <w:tabs>
          <w:tab w:val="left" w:pos="810"/>
        </w:tabs>
        <w:ind w:left="1440"/>
        <w:rPr>
          <w:rFonts w:ascii="Arial" w:hAnsi="Arial" w:cs="Arial"/>
          <w:sz w:val="22"/>
          <w:szCs w:val="22"/>
        </w:rPr>
      </w:pPr>
      <w:r w:rsidRPr="002C4FDA">
        <w:rPr>
          <w:rFonts w:ascii="Arial" w:hAnsi="Arial" w:cs="Arial"/>
          <w:sz w:val="22"/>
          <w:szCs w:val="22"/>
        </w:rPr>
        <w:t>Are front desk staff who just accept applications without discussion.</w:t>
      </w:r>
    </w:p>
    <w:p w:rsidR="00A4183E" w:rsidRPr="002C4FDA" w:rsidRDefault="00A4183E" w:rsidP="00A4183E">
      <w:pPr>
        <w:tabs>
          <w:tab w:val="left" w:pos="810"/>
        </w:tabs>
        <w:ind w:left="1440"/>
        <w:rPr>
          <w:rFonts w:ascii="Arial" w:hAnsi="Arial" w:cs="Arial"/>
          <w:sz w:val="22"/>
          <w:szCs w:val="22"/>
        </w:rPr>
      </w:pPr>
      <w:r w:rsidRPr="002C4FDA">
        <w:rPr>
          <w:rFonts w:ascii="Arial" w:hAnsi="Arial" w:cs="Arial"/>
          <w:sz w:val="22"/>
          <w:szCs w:val="22"/>
        </w:rPr>
        <w:t>Are Board members who only review documents</w:t>
      </w:r>
    </w:p>
    <w:p w:rsidR="00A4183E" w:rsidRPr="002C4FDA" w:rsidRDefault="00A4183E" w:rsidP="00A4183E">
      <w:pPr>
        <w:ind w:left="1440"/>
        <w:rPr>
          <w:rFonts w:ascii="Arial" w:hAnsi="Arial" w:cs="Arial"/>
          <w:sz w:val="22"/>
          <w:szCs w:val="22"/>
        </w:rPr>
      </w:pPr>
      <w:r w:rsidRPr="002C4FDA">
        <w:rPr>
          <w:rFonts w:ascii="Arial" w:hAnsi="Arial" w:cs="Arial"/>
          <w:sz w:val="22"/>
          <w:szCs w:val="22"/>
        </w:rPr>
        <w:t>do not have to qualify as Loan Originators.</w:t>
      </w:r>
    </w:p>
    <w:p w:rsidR="00A4183E" w:rsidRPr="002C4FDA" w:rsidRDefault="00A4183E" w:rsidP="00A4183E">
      <w:pPr>
        <w:ind w:left="1350"/>
        <w:rPr>
          <w:rFonts w:ascii="Arial" w:hAnsi="Arial" w:cs="Arial"/>
          <w:sz w:val="22"/>
          <w:szCs w:val="22"/>
        </w:rPr>
      </w:pPr>
    </w:p>
    <w:p w:rsidR="00A4183E" w:rsidRPr="002C4FDA" w:rsidRDefault="00A4183E" w:rsidP="00A4183E">
      <w:pPr>
        <w:pStyle w:val="numberedparagraphs"/>
        <w:numPr>
          <w:ilvl w:val="1"/>
          <w:numId w:val="2"/>
        </w:numPr>
        <w:jc w:val="left"/>
        <w:rPr>
          <w:rFonts w:ascii="Arial" w:hAnsi="Arial" w:cs="Arial"/>
          <w:sz w:val="22"/>
          <w:szCs w:val="22"/>
        </w:rPr>
      </w:pPr>
      <w:r w:rsidRPr="002C4FDA">
        <w:rPr>
          <w:rFonts w:ascii="Arial" w:hAnsi="Arial" w:cs="Arial"/>
          <w:sz w:val="22"/>
          <w:szCs w:val="22"/>
        </w:rPr>
        <w:t>Each employee of the agency who performs the tasks listed above will obtain an</w:t>
      </w:r>
      <w:r>
        <w:rPr>
          <w:rFonts w:ascii="Arial" w:hAnsi="Arial" w:cs="Arial"/>
          <w:sz w:val="22"/>
          <w:szCs w:val="22"/>
        </w:rPr>
        <w:t xml:space="preserve">d </w:t>
      </w:r>
      <w:r w:rsidRPr="002C4FDA">
        <w:rPr>
          <w:rFonts w:ascii="Arial" w:hAnsi="Arial" w:cs="Arial"/>
          <w:sz w:val="22"/>
          <w:szCs w:val="22"/>
        </w:rPr>
        <w:t xml:space="preserve">provide to the affiliate the following information: </w:t>
      </w:r>
    </w:p>
    <w:p w:rsidR="00A4183E" w:rsidRPr="002C4FDA" w:rsidRDefault="00A4183E" w:rsidP="00A4183E">
      <w:pPr>
        <w:pStyle w:val="ListParagraph"/>
        <w:numPr>
          <w:ilvl w:val="2"/>
          <w:numId w:val="2"/>
        </w:numPr>
        <w:rPr>
          <w:rFonts w:ascii="Arial" w:hAnsi="Arial" w:cs="Arial"/>
          <w:sz w:val="22"/>
          <w:szCs w:val="22"/>
        </w:rPr>
      </w:pPr>
      <w:r w:rsidRPr="002C4FDA">
        <w:rPr>
          <w:rFonts w:ascii="Arial" w:hAnsi="Arial" w:cs="Arial"/>
          <w:sz w:val="22"/>
          <w:szCs w:val="22"/>
        </w:rPr>
        <w:t xml:space="preserve">criminal background check, </w:t>
      </w:r>
    </w:p>
    <w:p w:rsidR="00A4183E" w:rsidRPr="002C4FDA" w:rsidRDefault="00A4183E" w:rsidP="00A4183E">
      <w:pPr>
        <w:pStyle w:val="ListParagraph"/>
        <w:numPr>
          <w:ilvl w:val="2"/>
          <w:numId w:val="2"/>
        </w:numPr>
        <w:rPr>
          <w:rFonts w:ascii="Arial" w:hAnsi="Arial" w:cs="Arial"/>
          <w:sz w:val="22"/>
          <w:szCs w:val="22"/>
        </w:rPr>
      </w:pPr>
      <w:r w:rsidRPr="002C4FDA">
        <w:rPr>
          <w:rFonts w:ascii="Arial" w:hAnsi="Arial" w:cs="Arial"/>
          <w:sz w:val="22"/>
          <w:szCs w:val="22"/>
        </w:rPr>
        <w:t xml:space="preserve">credit report, and </w:t>
      </w:r>
    </w:p>
    <w:p w:rsidR="00A4183E" w:rsidRPr="002C4FDA" w:rsidRDefault="00A4183E" w:rsidP="00A4183E">
      <w:pPr>
        <w:pStyle w:val="ListParagraph"/>
        <w:numPr>
          <w:ilvl w:val="2"/>
          <w:numId w:val="2"/>
        </w:numPr>
        <w:rPr>
          <w:rFonts w:ascii="Arial" w:hAnsi="Arial" w:cs="Arial"/>
          <w:sz w:val="22"/>
          <w:szCs w:val="22"/>
        </w:rPr>
      </w:pPr>
      <w:r w:rsidRPr="002C4FDA">
        <w:rPr>
          <w:rFonts w:ascii="Arial" w:hAnsi="Arial" w:cs="Arial"/>
          <w:sz w:val="22"/>
          <w:szCs w:val="22"/>
        </w:rPr>
        <w:t>information from the individual loan originator related to any civil, criminal or administrative decision.</w:t>
      </w:r>
    </w:p>
    <w:p w:rsidR="00A4183E" w:rsidRPr="002C4FDA" w:rsidRDefault="00A4183E" w:rsidP="00A4183E">
      <w:pPr>
        <w:pStyle w:val="ListParagraph"/>
        <w:numPr>
          <w:ilvl w:val="2"/>
          <w:numId w:val="2"/>
        </w:numPr>
        <w:rPr>
          <w:rFonts w:ascii="Arial" w:hAnsi="Arial" w:cs="Arial"/>
          <w:sz w:val="22"/>
          <w:szCs w:val="22"/>
        </w:rPr>
      </w:pPr>
      <w:r w:rsidRPr="002C4FDA">
        <w:rPr>
          <w:rFonts w:ascii="Arial" w:hAnsi="Arial" w:cs="Arial"/>
          <w:sz w:val="22"/>
          <w:szCs w:val="22"/>
        </w:rPr>
        <w:t>other information or clarifications requested by the finance committee to make a determination of financial responsibility, character and general fitness.</w:t>
      </w:r>
    </w:p>
    <w:p w:rsidR="00A4183E" w:rsidRPr="002C4FDA" w:rsidRDefault="00A4183E" w:rsidP="00A4183E">
      <w:pPr>
        <w:ind w:left="288"/>
        <w:rPr>
          <w:rFonts w:ascii="Arial" w:hAnsi="Arial" w:cs="Arial"/>
          <w:sz w:val="22"/>
          <w:szCs w:val="22"/>
        </w:rPr>
      </w:pPr>
    </w:p>
    <w:p w:rsidR="00A4183E" w:rsidRPr="002C4FDA" w:rsidRDefault="00A4183E" w:rsidP="00A4183E">
      <w:pPr>
        <w:pStyle w:val="ListParagraph"/>
        <w:numPr>
          <w:ilvl w:val="2"/>
          <w:numId w:val="2"/>
        </w:numPr>
        <w:rPr>
          <w:rFonts w:ascii="Arial" w:hAnsi="Arial" w:cs="Arial"/>
          <w:sz w:val="22"/>
          <w:szCs w:val="22"/>
        </w:rPr>
      </w:pPr>
      <w:r w:rsidRPr="002C4FDA">
        <w:rPr>
          <w:rFonts w:ascii="Arial" w:hAnsi="Arial" w:cs="Arial"/>
          <w:sz w:val="22"/>
          <w:szCs w:val="22"/>
        </w:rPr>
        <w:t>The affiliate may, when finances permit, pay for these items or reimburse the employee or Board member the reasonable costs of providing this information.</w:t>
      </w:r>
    </w:p>
    <w:p w:rsidR="00A4183E" w:rsidRPr="002C4FDA" w:rsidRDefault="00A4183E" w:rsidP="00A4183E">
      <w:pPr>
        <w:ind w:left="1350"/>
        <w:rPr>
          <w:rFonts w:ascii="Arial" w:hAnsi="Arial" w:cs="Arial"/>
          <w:sz w:val="22"/>
          <w:szCs w:val="22"/>
        </w:rPr>
      </w:pPr>
    </w:p>
    <w:p w:rsidR="00A4183E" w:rsidRPr="002C4FDA" w:rsidRDefault="00A4183E" w:rsidP="00A4183E">
      <w:pPr>
        <w:pStyle w:val="numberedparagraphs"/>
        <w:numPr>
          <w:ilvl w:val="1"/>
          <w:numId w:val="2"/>
        </w:numPr>
        <w:jc w:val="left"/>
        <w:rPr>
          <w:rFonts w:ascii="Arial" w:hAnsi="Arial" w:cs="Arial"/>
          <w:sz w:val="22"/>
          <w:szCs w:val="22"/>
        </w:rPr>
      </w:pPr>
      <w:r w:rsidRPr="002C4FDA">
        <w:rPr>
          <w:rFonts w:ascii="Arial" w:hAnsi="Arial" w:cs="Arial"/>
          <w:sz w:val="22"/>
          <w:szCs w:val="22"/>
        </w:rPr>
        <w:t>The information will be provided to the finance committee which shall use it to make a written determination that the staff person shall be allowed to undertake the actions listed above. The committee may approve the person as a loan originator despite some negative indicators, if they have considered the circumstances and decided favorably.  Among the factors that should be considered are:</w:t>
      </w:r>
    </w:p>
    <w:p w:rsidR="00A4183E" w:rsidRPr="002C4FDA" w:rsidRDefault="00A4183E" w:rsidP="00A4183E">
      <w:pPr>
        <w:ind w:left="1620"/>
        <w:rPr>
          <w:rFonts w:ascii="Arial" w:hAnsi="Arial" w:cs="Arial"/>
          <w:sz w:val="22"/>
          <w:szCs w:val="22"/>
        </w:rPr>
      </w:pPr>
    </w:p>
    <w:p w:rsidR="00A4183E" w:rsidRPr="002C4FDA" w:rsidRDefault="00A4183E" w:rsidP="00A4183E">
      <w:pPr>
        <w:pStyle w:val="Default"/>
        <w:numPr>
          <w:ilvl w:val="2"/>
          <w:numId w:val="2"/>
        </w:numPr>
        <w:rPr>
          <w:rFonts w:ascii="Arial" w:hAnsi="Arial" w:cs="Arial"/>
          <w:color w:val="auto"/>
          <w:sz w:val="22"/>
          <w:szCs w:val="22"/>
        </w:rPr>
      </w:pPr>
      <w:r w:rsidRPr="002C4FDA">
        <w:rPr>
          <w:rFonts w:ascii="Arial" w:hAnsi="Arial" w:cs="Arial"/>
          <w:color w:val="auto"/>
          <w:sz w:val="22"/>
          <w:szCs w:val="22"/>
        </w:rPr>
        <w:t xml:space="preserve">The existence of current outstanding judgments, tax liens, or other government liens </w:t>
      </w:r>
    </w:p>
    <w:p w:rsidR="00A4183E" w:rsidRPr="002C4FDA" w:rsidRDefault="00A4183E" w:rsidP="00A4183E">
      <w:pPr>
        <w:pStyle w:val="Default"/>
        <w:numPr>
          <w:ilvl w:val="2"/>
          <w:numId w:val="2"/>
        </w:numPr>
        <w:rPr>
          <w:rFonts w:ascii="Arial" w:hAnsi="Arial" w:cs="Arial"/>
          <w:color w:val="auto"/>
          <w:sz w:val="22"/>
          <w:szCs w:val="22"/>
        </w:rPr>
      </w:pPr>
      <w:r w:rsidRPr="002C4FDA">
        <w:rPr>
          <w:rFonts w:ascii="Arial" w:hAnsi="Arial" w:cs="Arial"/>
          <w:color w:val="auto"/>
          <w:sz w:val="22"/>
          <w:szCs w:val="22"/>
        </w:rPr>
        <w:t xml:space="preserve">Nonpayment of child support </w:t>
      </w:r>
    </w:p>
    <w:p w:rsidR="00A4183E" w:rsidRPr="002C4FDA" w:rsidRDefault="00A4183E" w:rsidP="00A4183E">
      <w:pPr>
        <w:pStyle w:val="Default"/>
        <w:numPr>
          <w:ilvl w:val="2"/>
          <w:numId w:val="2"/>
        </w:numPr>
        <w:rPr>
          <w:rFonts w:ascii="Arial" w:hAnsi="Arial" w:cs="Arial"/>
          <w:color w:val="auto"/>
          <w:sz w:val="22"/>
          <w:szCs w:val="22"/>
        </w:rPr>
      </w:pPr>
      <w:r w:rsidRPr="002C4FDA">
        <w:rPr>
          <w:rFonts w:ascii="Arial" w:hAnsi="Arial" w:cs="Arial"/>
          <w:color w:val="auto"/>
          <w:sz w:val="22"/>
          <w:szCs w:val="22"/>
        </w:rPr>
        <w:t>A pattern of bankruptcies, foreclosures, or delinquent accounts</w:t>
      </w:r>
    </w:p>
    <w:p w:rsidR="00A4183E" w:rsidRPr="002C4FDA" w:rsidRDefault="00A4183E" w:rsidP="00A4183E">
      <w:pPr>
        <w:pStyle w:val="Default"/>
        <w:numPr>
          <w:ilvl w:val="2"/>
          <w:numId w:val="2"/>
        </w:numPr>
        <w:rPr>
          <w:rFonts w:ascii="Arial" w:hAnsi="Arial" w:cs="Arial"/>
          <w:color w:val="auto"/>
          <w:sz w:val="22"/>
          <w:szCs w:val="22"/>
        </w:rPr>
      </w:pPr>
      <w:r w:rsidRPr="002C4FDA">
        <w:rPr>
          <w:rFonts w:ascii="Arial" w:hAnsi="Arial" w:cs="Arial"/>
          <w:color w:val="auto"/>
          <w:sz w:val="22"/>
          <w:szCs w:val="22"/>
        </w:rPr>
        <w:t xml:space="preserve">The assessment need not consider debts arising from medical expenses </w:t>
      </w:r>
    </w:p>
    <w:p w:rsidR="00A4183E" w:rsidRPr="002C4FDA" w:rsidRDefault="00A4183E" w:rsidP="00A4183E">
      <w:pPr>
        <w:ind w:left="1620"/>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A person who has been convicted of (or pleaded to): (a) any felony during the last 7 years, or (b) any felony involving fraud, dishonesty, breach of trust, or money laundering at any time shall not be allowed as a loan originator.</w:t>
      </w:r>
    </w:p>
    <w:p w:rsidR="00A4183E" w:rsidRPr="002C4FDA" w:rsidRDefault="00A4183E" w:rsidP="00A4183E">
      <w:pPr>
        <w:ind w:left="1620"/>
        <w:rPr>
          <w:rFonts w:ascii="Arial" w:hAnsi="Arial" w:cs="Arial"/>
          <w:sz w:val="22"/>
          <w:szCs w:val="22"/>
        </w:rPr>
      </w:pPr>
    </w:p>
    <w:p w:rsidR="00A4183E" w:rsidRPr="002C4FDA" w:rsidRDefault="00A4183E" w:rsidP="00A4183E">
      <w:pPr>
        <w:pStyle w:val="ListParagraph"/>
        <w:numPr>
          <w:ilvl w:val="1"/>
          <w:numId w:val="2"/>
        </w:numPr>
        <w:autoSpaceDE w:val="0"/>
        <w:autoSpaceDN w:val="0"/>
        <w:adjustRightInd w:val="0"/>
        <w:rPr>
          <w:rFonts w:ascii="Arial" w:hAnsi="Arial" w:cs="Arial"/>
          <w:sz w:val="22"/>
          <w:szCs w:val="22"/>
        </w:rPr>
      </w:pPr>
      <w:r w:rsidRPr="002C4FDA">
        <w:rPr>
          <w:rFonts w:ascii="Arial" w:hAnsi="Arial" w:cs="Arial"/>
          <w:sz w:val="22"/>
          <w:szCs w:val="22"/>
        </w:rPr>
        <w:t xml:space="preserve">The committee’s review and assessment of </w:t>
      </w:r>
      <w:r w:rsidRPr="002C4FDA">
        <w:rPr>
          <w:rFonts w:ascii="Arial" w:hAnsi="Arial" w:cs="Arial"/>
          <w:sz w:val="22"/>
          <w:szCs w:val="22"/>
          <w:u w:val="single"/>
        </w:rPr>
        <w:t>character</w:t>
      </w:r>
      <w:r w:rsidRPr="002C4FDA">
        <w:rPr>
          <w:rFonts w:ascii="Arial" w:hAnsi="Arial" w:cs="Arial"/>
          <w:sz w:val="22"/>
          <w:szCs w:val="22"/>
        </w:rPr>
        <w:t xml:space="preserve"> and </w:t>
      </w:r>
      <w:r w:rsidRPr="002C4FDA">
        <w:rPr>
          <w:rFonts w:ascii="Arial" w:hAnsi="Arial" w:cs="Arial"/>
          <w:sz w:val="22"/>
          <w:szCs w:val="22"/>
          <w:u w:val="single"/>
        </w:rPr>
        <w:t>general fitness</w:t>
      </w:r>
      <w:r w:rsidRPr="002C4FDA">
        <w:rPr>
          <w:rFonts w:ascii="Arial" w:hAnsi="Arial" w:cs="Arial"/>
          <w:sz w:val="22"/>
          <w:szCs w:val="22"/>
        </w:rPr>
        <w:t xml:space="preserve"> is sufficient if it considers, as relevant factors: </w:t>
      </w:r>
    </w:p>
    <w:p w:rsidR="00A4183E" w:rsidRPr="002C4FDA" w:rsidRDefault="00A4183E" w:rsidP="00A4183E">
      <w:pPr>
        <w:pStyle w:val="ListParagraph"/>
        <w:autoSpaceDE w:val="0"/>
        <w:autoSpaceDN w:val="0"/>
        <w:adjustRightInd w:val="0"/>
        <w:ind w:left="1620"/>
        <w:rPr>
          <w:rFonts w:ascii="Arial" w:hAnsi="Arial" w:cs="Arial"/>
          <w:sz w:val="22"/>
          <w:szCs w:val="22"/>
        </w:rPr>
      </w:pPr>
    </w:p>
    <w:p w:rsidR="00A4183E" w:rsidRPr="002C4FDA" w:rsidRDefault="00A4183E" w:rsidP="00A4183E">
      <w:pPr>
        <w:pStyle w:val="Default"/>
        <w:numPr>
          <w:ilvl w:val="3"/>
          <w:numId w:val="2"/>
        </w:numPr>
        <w:rPr>
          <w:rFonts w:ascii="Arial" w:hAnsi="Arial" w:cs="Arial"/>
          <w:color w:val="auto"/>
          <w:sz w:val="22"/>
          <w:szCs w:val="22"/>
        </w:rPr>
      </w:pPr>
      <w:r w:rsidRPr="002C4FDA">
        <w:rPr>
          <w:rFonts w:ascii="Arial" w:hAnsi="Arial" w:cs="Arial"/>
          <w:color w:val="auto"/>
          <w:sz w:val="22"/>
          <w:szCs w:val="22"/>
        </w:rPr>
        <w:t xml:space="preserve">Acts of unfairness or dishonesty </w:t>
      </w:r>
    </w:p>
    <w:p w:rsidR="00A4183E" w:rsidRPr="002C4FDA" w:rsidRDefault="00A4183E" w:rsidP="00A4183E">
      <w:pPr>
        <w:pStyle w:val="Default"/>
        <w:numPr>
          <w:ilvl w:val="3"/>
          <w:numId w:val="2"/>
        </w:numPr>
        <w:rPr>
          <w:rFonts w:ascii="Arial" w:hAnsi="Arial" w:cs="Arial"/>
          <w:color w:val="auto"/>
          <w:sz w:val="22"/>
          <w:szCs w:val="22"/>
        </w:rPr>
      </w:pPr>
      <w:r w:rsidRPr="002C4FDA">
        <w:rPr>
          <w:rFonts w:ascii="Arial" w:hAnsi="Arial" w:cs="Arial"/>
          <w:color w:val="auto"/>
          <w:sz w:val="22"/>
          <w:szCs w:val="22"/>
        </w:rPr>
        <w:t xml:space="preserve">Dishonesty in the course of seeking employment </w:t>
      </w:r>
    </w:p>
    <w:p w:rsidR="00A4183E" w:rsidRPr="002C4FDA" w:rsidRDefault="00A4183E" w:rsidP="00A4183E">
      <w:pPr>
        <w:pStyle w:val="Default"/>
        <w:numPr>
          <w:ilvl w:val="3"/>
          <w:numId w:val="2"/>
        </w:numPr>
        <w:rPr>
          <w:rFonts w:ascii="Arial" w:hAnsi="Arial" w:cs="Arial"/>
          <w:color w:val="auto"/>
          <w:sz w:val="22"/>
          <w:szCs w:val="22"/>
        </w:rPr>
      </w:pPr>
      <w:r w:rsidRPr="002C4FDA">
        <w:rPr>
          <w:rFonts w:ascii="Arial" w:hAnsi="Arial" w:cs="Arial"/>
          <w:color w:val="auto"/>
          <w:sz w:val="22"/>
          <w:szCs w:val="22"/>
        </w:rPr>
        <w:t xml:space="preserve">Dishonesty concerning qualifications </w:t>
      </w:r>
    </w:p>
    <w:p w:rsidR="00A4183E" w:rsidRPr="002C4FDA" w:rsidRDefault="00A4183E" w:rsidP="00A4183E">
      <w:pPr>
        <w:pStyle w:val="Default"/>
        <w:numPr>
          <w:ilvl w:val="3"/>
          <w:numId w:val="2"/>
        </w:numPr>
        <w:rPr>
          <w:rFonts w:ascii="Arial" w:hAnsi="Arial" w:cs="Arial"/>
          <w:color w:val="auto"/>
          <w:sz w:val="22"/>
          <w:szCs w:val="22"/>
        </w:rPr>
      </w:pPr>
      <w:r w:rsidRPr="002C4FDA">
        <w:rPr>
          <w:rFonts w:ascii="Arial" w:hAnsi="Arial" w:cs="Arial"/>
          <w:color w:val="auto"/>
          <w:sz w:val="22"/>
          <w:szCs w:val="22"/>
        </w:rPr>
        <w:t xml:space="preserve">Disciplinary actions by regulatory or professional licensing agencies </w:t>
      </w:r>
    </w:p>
    <w:p w:rsidR="00A4183E" w:rsidRPr="002C4FDA" w:rsidRDefault="00A4183E" w:rsidP="00A4183E">
      <w:pPr>
        <w:ind w:left="2520"/>
        <w:rPr>
          <w:rFonts w:ascii="Arial" w:hAnsi="Arial" w:cs="Arial"/>
          <w:sz w:val="22"/>
          <w:szCs w:val="22"/>
        </w:rPr>
      </w:pPr>
    </w:p>
    <w:p w:rsidR="00A4183E" w:rsidRPr="002C4FDA" w:rsidRDefault="00A4183E" w:rsidP="00A4183E">
      <w:pPr>
        <w:pStyle w:val="ListParagraph"/>
        <w:numPr>
          <w:ilvl w:val="1"/>
          <w:numId w:val="2"/>
        </w:numPr>
        <w:rPr>
          <w:rFonts w:ascii="Arial" w:hAnsi="Arial" w:cs="Arial"/>
          <w:sz w:val="22"/>
          <w:szCs w:val="22"/>
        </w:rPr>
      </w:pPr>
      <w:r w:rsidRPr="002C4FDA">
        <w:rPr>
          <w:rFonts w:ascii="Arial" w:hAnsi="Arial" w:cs="Arial"/>
          <w:sz w:val="22"/>
          <w:szCs w:val="22"/>
        </w:rPr>
        <w:t xml:space="preserve">No single factor necessarily requires that the committee exclude the individual as a loan originator for the affiliate, if the committee considers all relevant factors and reasonably determines that, on balance, the individual meets the standards.  </w:t>
      </w:r>
    </w:p>
    <w:p w:rsidR="00A4183E" w:rsidRPr="002C4FDA" w:rsidRDefault="00A4183E" w:rsidP="00A4183E">
      <w:pPr>
        <w:ind w:left="1620"/>
        <w:rPr>
          <w:rFonts w:ascii="Arial" w:hAnsi="Arial" w:cs="Arial"/>
          <w:sz w:val="22"/>
          <w:szCs w:val="22"/>
        </w:rPr>
      </w:pPr>
    </w:p>
    <w:p w:rsidR="00A4183E" w:rsidRPr="002C4FDA" w:rsidRDefault="00A4183E" w:rsidP="00A4183E">
      <w:pPr>
        <w:pStyle w:val="numberedparagraphs"/>
        <w:numPr>
          <w:ilvl w:val="1"/>
          <w:numId w:val="2"/>
        </w:numPr>
        <w:jc w:val="left"/>
        <w:rPr>
          <w:rFonts w:ascii="Arial" w:hAnsi="Arial" w:cs="Arial"/>
          <w:sz w:val="22"/>
          <w:szCs w:val="22"/>
        </w:rPr>
      </w:pPr>
      <w:r w:rsidRPr="002C4FDA">
        <w:rPr>
          <w:rFonts w:ascii="Arial" w:hAnsi="Arial" w:cs="Arial"/>
          <w:sz w:val="22"/>
          <w:szCs w:val="22"/>
        </w:rPr>
        <w:lastRenderedPageBreak/>
        <w:t>All information and the approval by the finance committee that the person meets the financial, character and general fitness standards will be retained by the affiliate for 7 years after the person ceases acting as a loan originator.</w:t>
      </w:r>
    </w:p>
    <w:p w:rsidR="00A4183E" w:rsidRPr="002C4FDA" w:rsidRDefault="00A4183E" w:rsidP="00A4183E">
      <w:pPr>
        <w:pStyle w:val="numberedparagraphs"/>
        <w:tabs>
          <w:tab w:val="clear" w:pos="1710"/>
        </w:tabs>
        <w:ind w:left="1350"/>
        <w:jc w:val="left"/>
        <w:rPr>
          <w:rFonts w:ascii="Arial" w:hAnsi="Arial" w:cs="Arial"/>
          <w:sz w:val="22"/>
          <w:szCs w:val="22"/>
        </w:rPr>
      </w:pPr>
    </w:p>
    <w:p w:rsidR="00A4183E" w:rsidRPr="002C4FDA" w:rsidRDefault="00A4183E" w:rsidP="00A4183E">
      <w:pPr>
        <w:pStyle w:val="numberedparagraphs"/>
        <w:numPr>
          <w:ilvl w:val="1"/>
          <w:numId w:val="2"/>
        </w:numPr>
        <w:jc w:val="left"/>
        <w:rPr>
          <w:rFonts w:ascii="Arial" w:hAnsi="Arial" w:cs="Arial"/>
          <w:sz w:val="22"/>
          <w:szCs w:val="22"/>
        </w:rPr>
      </w:pPr>
      <w:r w:rsidRPr="002C4FDA">
        <w:rPr>
          <w:rFonts w:ascii="Arial" w:hAnsi="Arial" w:cs="Arial"/>
          <w:sz w:val="22"/>
          <w:szCs w:val="22"/>
        </w:rPr>
        <w:t>Any person designated as a loan originator will have the responsibility to promptly obtain initial and annual training in order to comply with the applicable regulations.  Training available through HfHI will be used, where appropriate.</w:t>
      </w:r>
    </w:p>
    <w:p w:rsidR="00A4183E" w:rsidRPr="002C4FDA" w:rsidRDefault="00A4183E" w:rsidP="00A4183E">
      <w:pPr>
        <w:pStyle w:val="numberedparagraphs"/>
        <w:tabs>
          <w:tab w:val="clear" w:pos="1710"/>
        </w:tabs>
        <w:ind w:left="1350"/>
        <w:jc w:val="left"/>
        <w:rPr>
          <w:rFonts w:ascii="Arial" w:hAnsi="Arial" w:cs="Arial"/>
          <w:sz w:val="22"/>
          <w:szCs w:val="22"/>
        </w:rPr>
      </w:pPr>
    </w:p>
    <w:p w:rsidR="00A4183E" w:rsidRPr="002C4FDA" w:rsidRDefault="00A4183E" w:rsidP="00A4183E">
      <w:pPr>
        <w:pStyle w:val="numberedparagraphs"/>
        <w:numPr>
          <w:ilvl w:val="1"/>
          <w:numId w:val="2"/>
        </w:numPr>
        <w:jc w:val="left"/>
        <w:rPr>
          <w:rFonts w:ascii="Arial" w:hAnsi="Arial" w:cs="Arial"/>
          <w:sz w:val="22"/>
          <w:szCs w:val="22"/>
        </w:rPr>
      </w:pPr>
      <w:r w:rsidRPr="002C4FDA">
        <w:rPr>
          <w:rFonts w:ascii="Arial" w:hAnsi="Arial" w:cs="Arial"/>
          <w:sz w:val="22"/>
          <w:szCs w:val="22"/>
        </w:rPr>
        <w:t>The Executive Director will complete the information to inform HfHI of each person designated as a loan originator.</w:t>
      </w:r>
    </w:p>
    <w:p w:rsidR="00A4183E" w:rsidRPr="002C4FDA" w:rsidRDefault="00A4183E" w:rsidP="00A4183E">
      <w:pPr>
        <w:pStyle w:val="ListParagraph"/>
        <w:rPr>
          <w:rFonts w:ascii="Arial" w:hAnsi="Arial" w:cs="Arial"/>
          <w:sz w:val="22"/>
          <w:szCs w:val="22"/>
        </w:rPr>
      </w:pPr>
    </w:p>
    <w:p w:rsidR="00A4183E" w:rsidRPr="002C4FDA" w:rsidRDefault="00A4183E" w:rsidP="00A4183E">
      <w:pPr>
        <w:pStyle w:val="numberedparagraphs"/>
        <w:numPr>
          <w:ilvl w:val="0"/>
          <w:numId w:val="2"/>
        </w:numPr>
        <w:tabs>
          <w:tab w:val="left" w:pos="0"/>
        </w:tabs>
        <w:jc w:val="left"/>
        <w:rPr>
          <w:rFonts w:ascii="Arial" w:hAnsi="Arial" w:cs="Arial"/>
          <w:b/>
          <w:sz w:val="22"/>
          <w:szCs w:val="22"/>
        </w:rPr>
      </w:pPr>
      <w:r w:rsidRPr="002C4FDA">
        <w:rPr>
          <w:rFonts w:ascii="Arial" w:hAnsi="Arial" w:cs="Arial"/>
          <w:sz w:val="22"/>
          <w:szCs w:val="22"/>
        </w:rPr>
        <w:t xml:space="preserve">      </w:t>
      </w:r>
      <w:r w:rsidRPr="002C4FDA">
        <w:rPr>
          <w:rFonts w:ascii="Arial" w:hAnsi="Arial" w:cs="Arial"/>
          <w:b/>
          <w:sz w:val="22"/>
          <w:szCs w:val="22"/>
        </w:rPr>
        <w:t>____________________________________________________________________</w:t>
      </w:r>
    </w:p>
    <w:p w:rsidR="00A4183E" w:rsidRPr="002C4FDA" w:rsidRDefault="00A4183E" w:rsidP="00A4183E">
      <w:pPr>
        <w:ind w:left="720"/>
        <w:rPr>
          <w:rFonts w:ascii="Arial" w:hAnsi="Arial" w:cs="Arial"/>
          <w:b/>
          <w:sz w:val="22"/>
          <w:szCs w:val="22"/>
        </w:rPr>
      </w:pPr>
    </w:p>
    <w:p w:rsidR="005510A4" w:rsidRDefault="005510A4"/>
    <w:sectPr w:rsidR="005510A4" w:rsidSect="002C4FDA">
      <w:footerReference w:type="default" r:id="rId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5A0" w:rsidRDefault="00A4183E" w:rsidP="00E9515E">
    <w:pPr>
      <w:pStyle w:val="Footer"/>
      <w:tabs>
        <w:tab w:val="clear" w:pos="8640"/>
        <w:tab w:val="right" w:pos="8550"/>
      </w:tabs>
      <w:jc w:val="center"/>
    </w:pPr>
    <w:r>
      <w:t xml:space="preserve">LHfH Financial Policy                                        </w:t>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7</w:t>
    </w:r>
    <w:r>
      <w:rPr>
        <w:rStyle w:val="PageNumber"/>
      </w:rPr>
      <w:fldChar w:fldCharType="end"/>
    </w:r>
    <w:r>
      <w:rPr>
        <w:rStyle w:val="PageNumber"/>
      </w:rPr>
      <w:t xml:space="preserve">                                                  </w:t>
    </w:r>
    <w:r>
      <w:rPr>
        <w:rStyle w:val="PageNumber"/>
      </w:rPr>
      <w:t>2022</w:t>
    </w:r>
  </w:p>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C33973"/>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 w15:restartNumberingAfterBreak="0">
    <w:nsid w:val="51D5303C"/>
    <w:multiLevelType w:val="hybridMultilevel"/>
    <w:tmpl w:val="2C2A95CE"/>
    <w:lvl w:ilvl="0" w:tplc="54000CCE">
      <w:start w:val="1"/>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83E"/>
    <w:rsid w:val="005510A4"/>
    <w:rsid w:val="00A41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FAD24"/>
  <w15:chartTrackingRefBased/>
  <w15:docId w15:val="{0C29C0AE-832F-46D1-8E95-0BBB025A1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183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4183E"/>
    <w:pPr>
      <w:tabs>
        <w:tab w:val="center" w:pos="4320"/>
        <w:tab w:val="right" w:pos="8640"/>
      </w:tabs>
    </w:pPr>
  </w:style>
  <w:style w:type="character" w:customStyle="1" w:styleId="FooterChar">
    <w:name w:val="Footer Char"/>
    <w:basedOn w:val="DefaultParagraphFont"/>
    <w:link w:val="Footer"/>
    <w:rsid w:val="00A4183E"/>
    <w:rPr>
      <w:rFonts w:ascii="Times New Roman" w:eastAsia="Times New Roman" w:hAnsi="Times New Roman" w:cs="Times New Roman"/>
      <w:sz w:val="24"/>
      <w:szCs w:val="24"/>
    </w:rPr>
  </w:style>
  <w:style w:type="character" w:styleId="PageNumber">
    <w:name w:val="page number"/>
    <w:basedOn w:val="DefaultParagraphFont"/>
    <w:rsid w:val="00A4183E"/>
  </w:style>
  <w:style w:type="paragraph" w:styleId="ListParagraph">
    <w:name w:val="List Paragraph"/>
    <w:basedOn w:val="Normal"/>
    <w:link w:val="ListParagraphChar"/>
    <w:uiPriority w:val="34"/>
    <w:qFormat/>
    <w:rsid w:val="00A4183E"/>
    <w:pPr>
      <w:ind w:left="720"/>
      <w:contextualSpacing/>
    </w:pPr>
  </w:style>
  <w:style w:type="paragraph" w:customStyle="1" w:styleId="Default">
    <w:name w:val="Default"/>
    <w:rsid w:val="00A4183E"/>
    <w:pPr>
      <w:autoSpaceDE w:val="0"/>
      <w:autoSpaceDN w:val="0"/>
      <w:adjustRightInd w:val="0"/>
      <w:spacing w:after="0" w:line="240" w:lineRule="auto"/>
    </w:pPr>
    <w:rPr>
      <w:rFonts w:ascii="Garamond" w:hAnsi="Garamond" w:cs="Garamond"/>
      <w:color w:val="000000"/>
      <w:sz w:val="24"/>
      <w:szCs w:val="24"/>
    </w:rPr>
  </w:style>
  <w:style w:type="paragraph" w:customStyle="1" w:styleId="numberedparagraphs">
    <w:name w:val="numbered paragraphs"/>
    <w:basedOn w:val="ListParagraph"/>
    <w:link w:val="numberedparagraphsChar"/>
    <w:qFormat/>
    <w:rsid w:val="00A4183E"/>
    <w:pPr>
      <w:tabs>
        <w:tab w:val="num" w:pos="1710"/>
      </w:tabs>
      <w:ind w:left="0"/>
      <w:jc w:val="both"/>
    </w:pPr>
  </w:style>
  <w:style w:type="character" w:customStyle="1" w:styleId="ListParagraphChar">
    <w:name w:val="List Paragraph Char"/>
    <w:basedOn w:val="DefaultParagraphFont"/>
    <w:link w:val="ListParagraph"/>
    <w:uiPriority w:val="34"/>
    <w:rsid w:val="00A4183E"/>
    <w:rPr>
      <w:rFonts w:ascii="Times New Roman" w:eastAsia="Times New Roman" w:hAnsi="Times New Roman" w:cs="Times New Roman"/>
      <w:sz w:val="24"/>
      <w:szCs w:val="24"/>
    </w:rPr>
  </w:style>
  <w:style w:type="character" w:customStyle="1" w:styleId="numberedparagraphsChar">
    <w:name w:val="numbered paragraphs Char"/>
    <w:basedOn w:val="ListParagraphChar"/>
    <w:link w:val="numberedparagraphs"/>
    <w:rsid w:val="00A4183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2225</Words>
  <Characters>12683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zimmermane24@gmail.com</dc:creator>
  <cp:keywords/>
  <dc:description/>
  <cp:lastModifiedBy>zimmermane24@gmail.com</cp:lastModifiedBy>
  <cp:revision>1</cp:revision>
  <dcterms:created xsi:type="dcterms:W3CDTF">2022-05-02T19:57:00Z</dcterms:created>
  <dcterms:modified xsi:type="dcterms:W3CDTF">2022-05-02T19:59:00Z</dcterms:modified>
</cp:coreProperties>
</file>