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5CB27" w14:textId="77777777" w:rsidR="002211DE" w:rsidRPr="002211DE" w:rsidRDefault="002211DE" w:rsidP="002211DE">
      <w:pPr>
        <w:spacing w:before="100" w:beforeAutospacing="1" w:after="100" w:afterAutospacing="1"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Section 22 - Accounting &amp; Banking</w:t>
      </w:r>
    </w:p>
    <w:p w14:paraId="1E06A098" w14:textId="1D246EF1" w:rsidR="002211DE" w:rsidRPr="002211DE" w:rsidRDefault="002211DE" w:rsidP="0040331B">
      <w:pPr>
        <w:spacing w:after="0"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Minute # 10</w:t>
      </w:r>
    </w:p>
    <w:p w14:paraId="14F5B3C2" w14:textId="19C0CCA6" w:rsidR="002211DE" w:rsidRPr="002211DE" w:rsidRDefault="002211DE" w:rsidP="0040331B">
      <w:pPr>
        <w:spacing w:after="0"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Part # 1</w:t>
      </w:r>
    </w:p>
    <w:p w14:paraId="30FDD68B" w14:textId="77777777" w:rsidR="002211DE" w:rsidRPr="002211DE" w:rsidRDefault="002211DE" w:rsidP="002211DE">
      <w:pPr>
        <w:spacing w:after="0"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Date of Minute </w:t>
      </w:r>
    </w:p>
    <w:p w14:paraId="151C6DC3" w14:textId="77777777" w:rsidR="002211DE" w:rsidRPr="002211DE" w:rsidRDefault="002211DE" w:rsidP="002211DE">
      <w:pPr>
        <w:spacing w:before="100" w:beforeAutospacing="1" w:after="100" w:afterAutospacing="1"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6/22/2004</w:t>
      </w:r>
    </w:p>
    <w:p w14:paraId="7EAB8E74" w14:textId="77777777" w:rsidR="002211DE" w:rsidRPr="002211DE" w:rsidRDefault="002211DE" w:rsidP="002211DE">
      <w:pPr>
        <w:spacing w:after="0"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Revision Date </w:t>
      </w:r>
    </w:p>
    <w:p w14:paraId="1684F653" w14:textId="77777777" w:rsidR="002211DE" w:rsidRPr="002211DE" w:rsidRDefault="002211DE" w:rsidP="002211DE">
      <w:pPr>
        <w:spacing w:before="100" w:beforeAutospacing="1" w:after="100" w:afterAutospacing="1"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12/3/2019</w:t>
      </w:r>
    </w:p>
    <w:p w14:paraId="05EA7D23" w14:textId="77777777" w:rsidR="002211DE" w:rsidRPr="002211DE" w:rsidRDefault="002211DE" w:rsidP="002211DE">
      <w:pPr>
        <w:spacing w:after="0" w:line="240" w:lineRule="auto"/>
        <w:contextualSpacing/>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CC </w:t>
      </w:r>
    </w:p>
    <w:p w14:paraId="0FCF56EC" w14:textId="77777777" w:rsidR="002211DE" w:rsidRPr="002211DE" w:rsidRDefault="002211DE" w:rsidP="002211DE">
      <w:pPr>
        <w:spacing w:before="100" w:beforeAutospacing="1" w:after="100" w:afterAutospacing="1"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w:t>
      </w:r>
    </w:p>
    <w:p w14:paraId="20465FD9" w14:textId="77777777" w:rsidR="002211DE" w:rsidRPr="002211DE" w:rsidRDefault="002211DE" w:rsidP="002211DE">
      <w:pPr>
        <w:spacing w:before="100" w:beforeAutospacing="1" w:after="100" w:afterAutospacing="1"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FISCAL POLICIES AND PRACTICES MANUAL - UNITED STATES OF AMERICA</w:t>
      </w:r>
    </w:p>
    <w:p w14:paraId="46D7BF94" w14:textId="77777777" w:rsidR="002211DE" w:rsidRPr="002211DE" w:rsidRDefault="002211DE" w:rsidP="002211DE">
      <w:pPr>
        <w:spacing w:before="100" w:beforeAutospacing="1" w:after="24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The Territorial Commander, upon the recommendation of the Territorial Finance Council and in accordance with national uniformity, has approved the attached document.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Issued at the direction of the Territorial Commander on December 3, 2019.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Colonel Steven M. Howard </w:t>
      </w:r>
      <w:r w:rsidRPr="002211DE">
        <w:rPr>
          <w:rFonts w:ascii="Times New Roman" w:eastAsia="Times New Roman" w:hAnsi="Times New Roman" w:cs="Times New Roman"/>
          <w:sz w:val="24"/>
          <w:szCs w:val="24"/>
        </w:rPr>
        <w:br/>
        <w:t xml:space="preserve">CHIEF SECRETARY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February 1999 CC pp. 433-439 </w:t>
      </w:r>
      <w:r w:rsidRPr="002211DE">
        <w:rPr>
          <w:rFonts w:ascii="Times New Roman" w:eastAsia="Times New Roman" w:hAnsi="Times New Roman" w:cs="Times New Roman"/>
          <w:sz w:val="24"/>
          <w:szCs w:val="24"/>
        </w:rPr>
        <w:br/>
        <w:t xml:space="preserve">October 2019 CC pp. 282-283, 444-447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p>
    <w:p w14:paraId="5DDD6FFF"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Mission Statement</w:t>
      </w:r>
      <w:r w:rsidRPr="002211DE">
        <w:rPr>
          <w:rFonts w:ascii="Times New Roman" w:eastAsia="Times New Roman" w:hAnsi="Times New Roman" w:cs="Times New Roman"/>
          <w:sz w:val="24"/>
          <w:szCs w:val="24"/>
        </w:rPr>
        <w:t xml:space="preserve"> </w:t>
      </w:r>
    </w:p>
    <w:p w14:paraId="131E84AC"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The Salvation Army, an international movement, is an evangelical part of the universal Christian church. Its message is based on the Bible. Its ministry is motivated by the love of God. Its mission is to preach the gospel of Jesus Christ and to meet human need in His name without discrimination. </w:t>
      </w:r>
    </w:p>
    <w:p w14:paraId="14D477B4"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7"/>
          <w:szCs w:val="27"/>
          <w:u w:val="single"/>
        </w:rPr>
        <w:t>PREFACE</w:t>
      </w:r>
      <w:r w:rsidRPr="002211DE">
        <w:rPr>
          <w:rFonts w:ascii="Times New Roman" w:eastAsia="Times New Roman" w:hAnsi="Times New Roman" w:cs="Times New Roman"/>
          <w:sz w:val="24"/>
          <w:szCs w:val="24"/>
        </w:rPr>
        <w:t xml:space="preserve"> </w:t>
      </w:r>
    </w:p>
    <w:p w14:paraId="3600F73A"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For more than a century The Salvation Army (or the Army) has followed fiscal practices that have fostered public confidence and trust in its financial stewardship as an international religious and charitable movement. These practices date back to 1865 when its founder, William Booth, engaged a public accountant to audit the accounts of the newly formed East London Christian Revival Association, which later became The Salvation Army.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Because The Salvation Army in the United States has been associated with various funding groups since the early days of its formation, it had historically elected to prepare its financial </w:t>
      </w:r>
      <w:r w:rsidRPr="002211DE">
        <w:rPr>
          <w:rFonts w:ascii="Times New Roman" w:eastAsia="Times New Roman" w:hAnsi="Times New Roman" w:cs="Times New Roman"/>
          <w:sz w:val="24"/>
          <w:szCs w:val="24"/>
        </w:rPr>
        <w:lastRenderedPageBreak/>
        <w:t xml:space="preserve">statements to meet local reporting requirements as a charitable organization. While this resulted in a variety of financial statements across the nation, the Army was able to meet the responsibility of reporting to the public on a local basis.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Publication of a guide on </w:t>
      </w:r>
      <w:r w:rsidRPr="002211DE">
        <w:rPr>
          <w:rFonts w:ascii="Times New Roman" w:eastAsia="Times New Roman" w:hAnsi="Times New Roman" w:cs="Times New Roman"/>
          <w:i/>
          <w:iCs/>
          <w:sz w:val="24"/>
          <w:szCs w:val="24"/>
        </w:rPr>
        <w:t>Audits of Voluntary Health and Welfare Organizations</w:t>
      </w:r>
      <w:r w:rsidRPr="002211DE">
        <w:rPr>
          <w:rFonts w:ascii="Times New Roman" w:eastAsia="Times New Roman" w:hAnsi="Times New Roman" w:cs="Times New Roman"/>
          <w:sz w:val="24"/>
          <w:szCs w:val="24"/>
        </w:rPr>
        <w:t xml:space="preserve"> (AICPA Audit Guide) by the American Institute of Certified Public Accountants in 1974 was a significant step in promulgating generally accepted accounting principles applicable to not-for-profit organizations. This effort was supplemented by the 1974 revision of </w:t>
      </w:r>
      <w:r w:rsidRPr="002211DE">
        <w:rPr>
          <w:rFonts w:ascii="Times New Roman" w:eastAsia="Times New Roman" w:hAnsi="Times New Roman" w:cs="Times New Roman"/>
          <w:i/>
          <w:iCs/>
          <w:sz w:val="24"/>
          <w:szCs w:val="24"/>
        </w:rPr>
        <w:t>Standards of Accounting and Reporting for Voluntary Health and Welfare Organizations (Standards</w:t>
      </w:r>
      <w:r w:rsidRPr="002211DE">
        <w:rPr>
          <w:rFonts w:ascii="Times New Roman" w:eastAsia="Times New Roman" w:hAnsi="Times New Roman" w:cs="Times New Roman"/>
          <w:sz w:val="24"/>
          <w:szCs w:val="24"/>
        </w:rPr>
        <w:t xml:space="preserve">) (first published in 1964).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Salvation Army implemented the policies and practices incorporated in Standards of Accounting and Reporting for Voluntary Health and Welfare Organizations (Standards) at all levels of its organization on a national basis for fiscal years beginning on and after July 1, 1974. Subsequent revision of the Standards in 1988 (3rd revision) resulted in minor modifications to the Army's fiscal reporting practices in subsequent years.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Arial" w:eastAsia="Times New Roman" w:hAnsi="Arial" w:cs="Arial"/>
          <w:sz w:val="24"/>
          <w:szCs w:val="24"/>
        </w:rPr>
        <w:t xml:space="preserve">The Salvation Army has and continues to adopt financial accounting standards that form the basis of our financial reports. The most significant of these standards impacting the presentation of financial statements are summarized below and have been codified within the Financial Accounting Standards Board (“FASB”) Accounting Standards Codification (“ASC”) Topic 958 – </w:t>
      </w:r>
      <w:r w:rsidRPr="002211DE">
        <w:rPr>
          <w:rFonts w:ascii="Arial" w:eastAsia="Times New Roman" w:hAnsi="Arial" w:cs="Arial"/>
          <w:i/>
          <w:iCs/>
          <w:sz w:val="24"/>
          <w:szCs w:val="24"/>
        </w:rPr>
        <w:t>Not-for-Profit Entities</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w:t>
      </w:r>
      <w:r w:rsidRPr="002211DE">
        <w:rPr>
          <w:rFonts w:ascii="Times New Roman" w:eastAsia="Times New Roman" w:hAnsi="Times New Roman" w:cs="Times New Roman"/>
          <w:sz w:val="24"/>
          <w:szCs w:val="24"/>
        </w:rPr>
        <w:t xml:space="preserve"> </w:t>
      </w:r>
    </w:p>
    <w:p w14:paraId="5E1946CF"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Symbol" w:eastAsia="Times New Roman" w:hAnsi="Symbol" w:cs="Times New Roman"/>
          <w:sz w:val="24"/>
          <w:szCs w:val="24"/>
        </w:rPr>
        <w:t xml:space="preserve">· </w:t>
      </w:r>
      <w:r w:rsidRPr="002211DE">
        <w:rPr>
          <w:rFonts w:ascii="Arial" w:eastAsia="Times New Roman" w:hAnsi="Arial" w:cs="Arial"/>
          <w:sz w:val="24"/>
          <w:szCs w:val="24"/>
        </w:rPr>
        <w:t xml:space="preserve">Statements of Financial Accounting Standards (SFAS) No. 116, </w:t>
      </w:r>
      <w:r w:rsidRPr="002211DE">
        <w:rPr>
          <w:rFonts w:ascii="Arial" w:eastAsia="Times New Roman" w:hAnsi="Arial" w:cs="Arial"/>
          <w:i/>
          <w:iCs/>
          <w:sz w:val="24"/>
          <w:szCs w:val="24"/>
        </w:rPr>
        <w:t>Accounting for Contributions Received and Contributions Made</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Symbol" w:eastAsia="Times New Roman" w:hAnsi="Symbol" w:cs="Times New Roman"/>
          <w:sz w:val="24"/>
          <w:szCs w:val="24"/>
        </w:rPr>
        <w:t xml:space="preserve">· </w:t>
      </w:r>
      <w:r w:rsidRPr="002211DE">
        <w:rPr>
          <w:rFonts w:ascii="Arial" w:eastAsia="Times New Roman" w:hAnsi="Arial" w:cs="Arial"/>
          <w:sz w:val="24"/>
          <w:szCs w:val="24"/>
        </w:rPr>
        <w:t xml:space="preserve">SFAS No. 117, </w:t>
      </w:r>
      <w:r w:rsidRPr="002211DE">
        <w:rPr>
          <w:rFonts w:ascii="Arial" w:eastAsia="Times New Roman" w:hAnsi="Arial" w:cs="Arial"/>
          <w:i/>
          <w:iCs/>
          <w:sz w:val="24"/>
          <w:szCs w:val="24"/>
        </w:rPr>
        <w:t>Financial Statements of Not-for-Profit Organizations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Symbol" w:eastAsia="Times New Roman" w:hAnsi="Symbol" w:cs="Times New Roman"/>
          <w:sz w:val="24"/>
          <w:szCs w:val="24"/>
        </w:rPr>
        <w:t xml:space="preserve">· </w:t>
      </w:r>
      <w:r w:rsidRPr="002211DE">
        <w:rPr>
          <w:rFonts w:ascii="Arial" w:eastAsia="Times New Roman" w:hAnsi="Arial" w:cs="Arial"/>
          <w:sz w:val="24"/>
          <w:szCs w:val="24"/>
        </w:rPr>
        <w:t>Accounting Standards Update (“ASU”) No. 2016</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 xml:space="preserve">14, </w:t>
      </w:r>
      <w:r w:rsidRPr="002211DE">
        <w:rPr>
          <w:rFonts w:ascii="Arial" w:eastAsia="Times New Roman" w:hAnsi="Arial" w:cs="Arial"/>
          <w:i/>
          <w:iCs/>
          <w:sz w:val="24"/>
          <w:szCs w:val="24"/>
        </w:rPr>
        <w:t>Not</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i/>
          <w:iCs/>
          <w:sz w:val="24"/>
          <w:szCs w:val="24"/>
        </w:rPr>
        <w:t>-</w:t>
      </w:r>
      <w:r w:rsidRPr="002211DE">
        <w:rPr>
          <w:rFonts w:ascii="Times New Roman" w:eastAsia="Times New Roman" w:hAnsi="Times New Roman" w:cs="Times New Roman"/>
          <w:sz w:val="24"/>
          <w:szCs w:val="24"/>
        </w:rPr>
        <w:t xml:space="preserve"> </w:t>
      </w:r>
      <w:r w:rsidRPr="002211DE">
        <w:rPr>
          <w:rFonts w:ascii="Arial" w:eastAsia="Times New Roman" w:hAnsi="Arial" w:cs="Arial"/>
          <w:i/>
          <w:iCs/>
          <w:sz w:val="24"/>
          <w:szCs w:val="24"/>
        </w:rPr>
        <w:t>for-Profit Entities (Topic 958): Presentation of Financial Statements of Not-for-Profit Entities</w:t>
      </w:r>
      <w:r w:rsidRPr="002211DE">
        <w:rPr>
          <w:rFonts w:ascii="Times New Roman" w:eastAsia="Times New Roman" w:hAnsi="Times New Roman" w:cs="Times New Roman"/>
          <w:sz w:val="24"/>
          <w:szCs w:val="24"/>
        </w:rPr>
        <w:t xml:space="preserve"> </w:t>
      </w:r>
    </w:p>
    <w:p w14:paraId="0ABE4BC5"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Arial" w:eastAsia="Times New Roman" w:hAnsi="Arial" w:cs="Arial"/>
          <w:sz w:val="24"/>
          <w:szCs w:val="24"/>
        </w:rPr>
        <w:t xml:space="preserve">There are some accounting policies in the Salvation Army for which the accounting practices are not specifically addressed in ASC Topic 958, or for which slight modifications of these standards are authorized in these fiscal policies. Nevertheless, the Army recognizes that substantial compliance with accounting principles generally accepted in the United States of America (“US GAAP”) is essential to fulfill its fiduciary obligations to the public. </w:t>
      </w:r>
    </w:p>
    <w:p w14:paraId="416D6C81" w14:textId="77777777" w:rsidR="002211DE" w:rsidRPr="002211DE" w:rsidRDefault="002211DE" w:rsidP="002211DE">
      <w:pPr>
        <w:spacing w:before="100" w:beforeAutospacing="1" w:after="100" w:afterAutospacing="1"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Issued by the authority of The Commissioners' Conference</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Latest Revision October 2019</w:t>
      </w:r>
    </w:p>
    <w:p w14:paraId="1DE86396"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TABLE OF CONTENTS</w:t>
      </w:r>
      <w:r w:rsidRPr="002211DE">
        <w:rPr>
          <w:rFonts w:ascii="Times New Roman" w:eastAsia="Times New Roman" w:hAnsi="Times New Roman" w:cs="Times New Roman"/>
          <w:sz w:val="24"/>
          <w:szCs w:val="24"/>
        </w:rPr>
        <w:t xml:space="preserve"> </w:t>
      </w:r>
    </w:p>
    <w:p w14:paraId="77413958"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u w:val="single"/>
        </w:rPr>
        <w:t>Chapter</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0"/>
          <w:szCs w:val="20"/>
          <w:u w:val="single"/>
        </w:rPr>
        <w:t>Page</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I. FINANCIAL ACCOUNTING AND REPORTING PRACTICES 1-7</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lastRenderedPageBreak/>
        <w:br/>
      </w:r>
      <w:r w:rsidRPr="002211DE">
        <w:rPr>
          <w:rFonts w:ascii="Times New Roman" w:eastAsia="Times New Roman" w:hAnsi="Times New Roman" w:cs="Times New Roman"/>
          <w:sz w:val="20"/>
          <w:szCs w:val="20"/>
        </w:rPr>
        <w:t>SALVATION ARMY FUND ACCOUNTING 1</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Operating and Board Designated Funds 1</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Land, Building and Equipment Funds 2</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Donor Restricted Funds 2</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FUND RECORDKEEPING 3</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INVESTMENTS 3</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LAND AND BUILDINGS 3</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EQUIPMENT RESERVES 4</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REVENUE AND EXPENSE RECOGNITION 4</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REVENUE 5</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Contributions 5</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Pledges 5</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Legacies and Bequests 5</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Grants 6</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Contributed Services 6</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Donations of Property, Equipment and Materials 6</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Donations of Materials for Resale 6</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EXPENSES 7</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II. GENERAL PURPOSE FINANCIAL STATEMENTS 8-11</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STANDARD FINANCIAL STATEMENTS 8</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DISCLOSURE OF SIGNIFICANT ACCOUNTING POLICIES 8</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COMBINED FINANCIAL STATEMENTS 8</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BALANCE SHEET 8</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STATEMENT OF ACTIVITIES 9-10</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0"/>
          <w:szCs w:val="20"/>
        </w:rPr>
        <w:t>STATEMENT OF FUNCTIONAL EXPENSES 10</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lastRenderedPageBreak/>
        <w:br/>
      </w:r>
      <w:r w:rsidRPr="002211DE">
        <w:rPr>
          <w:rFonts w:ascii="Times New Roman" w:eastAsia="Times New Roman" w:hAnsi="Times New Roman" w:cs="Times New Roman"/>
          <w:sz w:val="20"/>
          <w:szCs w:val="20"/>
        </w:rPr>
        <w:t>STATEMENT OF CASH FLOWS 10</w:t>
      </w:r>
      <w:r w:rsidRPr="002211DE">
        <w:rPr>
          <w:rFonts w:ascii="Times New Roman" w:eastAsia="Times New Roman" w:hAnsi="Times New Roman" w:cs="Times New Roman"/>
          <w:sz w:val="24"/>
          <w:szCs w:val="24"/>
        </w:rPr>
        <w:t xml:space="preserve"> </w:t>
      </w:r>
    </w:p>
    <w:p w14:paraId="1C41EC97"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1</w:t>
      </w:r>
      <w:r w:rsidRPr="002211DE">
        <w:rPr>
          <w:rFonts w:ascii="Times New Roman" w:eastAsia="Times New Roman" w:hAnsi="Times New Roman" w:cs="Times New Roman"/>
          <w:sz w:val="24"/>
          <w:szCs w:val="24"/>
        </w:rPr>
        <w:t xml:space="preserve"> </w:t>
      </w:r>
    </w:p>
    <w:p w14:paraId="281E2E01"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b/>
          <w:bCs/>
          <w:sz w:val="24"/>
          <w:szCs w:val="24"/>
        </w:rPr>
        <w:t>CHAPTER I</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FINANCIAL ACCOUNTING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and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REPORTING PRACTICES </w:t>
      </w:r>
    </w:p>
    <w:p w14:paraId="28D7AB57"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Financial accounting practices relate to the manner in which transactions are gathered and recorded in the accounting system. This chapter examines the treatment by The Salvation Army of those transactions that are most relevant to meaningful reporting by not-for-profit entities.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Financial Accounting Standards Board (FASB) Accounting Standards Update ("ASU") No. 2016-41 does not require not-for-profit organizations to change accounting systems. Consequently, the Army has elected to retain its traditional national system of accounting by funds and will continue to segregate various accounting data into three classes of net assets - unrestricted, temporarily restricted and permanently restricted. However, the reporting of the Army's financial data will be in accordance with the amendments in this update and FASB Accounting Standard Codification (ASC) 958 - Not-for-Profit Entities and will be disclosed in the two three required classes of net assets - net assets with donor restrictions and net assets without donor restrictions.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Salvation Army, like many other religious and charitable organizations, receives support and revenue from many sources. Whereas most of the support is unrestricted and may be used for general purposes, some contributions and grants are restricted by the donor for specific purposes. These are reported in conformity with ASC 958.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In addition, in accordance with established Salvation Army policies, a unit may designate amounts of unrestricted contributions it has received for special purposes. These will be disclosed as board designated amounts within the unrestricted net assets classification. </w:t>
      </w:r>
    </w:p>
    <w:p w14:paraId="74D4ED50"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SALVATION ARMY FUND ACCOUNTING</w:t>
      </w:r>
      <w:r w:rsidRPr="002211DE">
        <w:rPr>
          <w:rFonts w:ascii="Times New Roman" w:eastAsia="Times New Roman" w:hAnsi="Times New Roman" w:cs="Times New Roman"/>
          <w:sz w:val="24"/>
          <w:szCs w:val="24"/>
        </w:rPr>
        <w:t xml:space="preserve"> </w:t>
      </w:r>
    </w:p>
    <w:p w14:paraId="27A1058F"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The Financial Accounting Standards Board requires the classification of net assets as: </w:t>
      </w:r>
    </w:p>
    <w:p w14:paraId="675EFD36"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Microsoft Sans Serif" w:eastAsia="Times New Roman" w:hAnsi="Microsoft Sans Serif" w:cs="Microsoft Sans Serif"/>
          <w:sz w:val="24"/>
          <w:szCs w:val="24"/>
        </w:rPr>
        <w:t xml:space="preserve">- </w:t>
      </w:r>
      <w:r w:rsidRPr="002211DE">
        <w:rPr>
          <w:rFonts w:ascii="Arial" w:eastAsia="Times New Roman" w:hAnsi="Arial" w:cs="Arial"/>
          <w:sz w:val="24"/>
          <w:szCs w:val="24"/>
          <w:u w:val="single"/>
        </w:rPr>
        <w:t>Net Assets Without Donor Restrictions</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 Net assets that are not subject to donor-imposed restrictions and may be designated for specific purposes or locations by actions of the Board of Trustees/Directors.</w:t>
      </w:r>
      <w:r w:rsidRPr="002211DE">
        <w:rPr>
          <w:rFonts w:ascii="Times New Roman" w:eastAsia="Times New Roman" w:hAnsi="Times New Roman" w:cs="Times New Roman"/>
          <w:sz w:val="24"/>
          <w:szCs w:val="24"/>
        </w:rPr>
        <w:t xml:space="preserve"> </w:t>
      </w:r>
    </w:p>
    <w:p w14:paraId="4224FEA6" w14:textId="77777777" w:rsidR="002211DE" w:rsidRPr="002211DE" w:rsidRDefault="002211DE" w:rsidP="002211DE">
      <w:pPr>
        <w:spacing w:before="100" w:beforeAutospacing="1" w:after="100" w:afterAutospacing="1" w:line="240" w:lineRule="auto"/>
        <w:ind w:left="720"/>
        <w:rPr>
          <w:rFonts w:ascii="Times New Roman" w:eastAsia="Times New Roman" w:hAnsi="Times New Roman" w:cs="Times New Roman"/>
          <w:sz w:val="24"/>
          <w:szCs w:val="24"/>
        </w:rPr>
      </w:pPr>
      <w:r w:rsidRPr="002211DE">
        <w:rPr>
          <w:rFonts w:ascii="Microsoft Sans Serif" w:eastAsia="Times New Roman" w:hAnsi="Microsoft Sans Serif" w:cs="Microsoft Sans Serif"/>
          <w:sz w:val="24"/>
          <w:szCs w:val="24"/>
        </w:rPr>
        <w:t xml:space="preserve">- </w:t>
      </w:r>
      <w:r w:rsidRPr="002211DE">
        <w:rPr>
          <w:rFonts w:ascii="Arial" w:eastAsia="Times New Roman" w:hAnsi="Arial" w:cs="Arial"/>
          <w:sz w:val="24"/>
          <w:szCs w:val="24"/>
          <w:u w:val="single"/>
        </w:rPr>
        <w:t>Net Assets With Donor Restrictions</w:t>
      </w:r>
      <w:r w:rsidRPr="002211DE">
        <w:rPr>
          <w:rFonts w:ascii="Arial" w:eastAsia="Times New Roman" w:hAnsi="Arial" w:cs="Arial"/>
          <w:sz w:val="24"/>
          <w:szCs w:val="24"/>
        </w:rPr>
        <w:t xml:space="preserve"> – Net assets that are subject to donor-imposed restrictions that will be fulfilled either by actions of the Salvation Army or the passage of time or that include a stipulation that assets provided be retained and invested permanently while permitting the Salvation Army to use all or part of the investment return on these assets for specified or unspecified purposes.</w:t>
      </w:r>
    </w:p>
    <w:p w14:paraId="2049EDB7"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lastRenderedPageBreak/>
        <w:br/>
        <w:t xml:space="preserve">To track the various asset balances and the transactions affecting them, the concept of fund accounting has been implemented. This concept provides for the segregation of like assets in self-balancing accounts from the following major fund groups: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OPERATING AND BOARD DESIGNATED FUNDS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These funds comprise assets not restricted by a donor. The principal sources of these assets are contributions, bequests and unrestricted investment earnings. In accordance with established policies of The Salvation Army, the Board of Trustees/Directors designates portions of these resources for specific purposes, such as property acquisitions, construction and improvements; retirement and health maintenance reserves; and property maintenance, equipment replacement, and insurance reserves. All resources not subject to donor-imposed restrictions and not designated by the Board are considered to be operating funds. These funds will be included and reported within the net assets without donor restrictions category. </w:t>
      </w:r>
    </w:p>
    <w:p w14:paraId="4F313CED"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2</w:t>
      </w:r>
      <w:r w:rsidRPr="002211DE">
        <w:rPr>
          <w:rFonts w:ascii="Times New Roman" w:eastAsia="Times New Roman" w:hAnsi="Times New Roman" w:cs="Times New Roman"/>
          <w:sz w:val="24"/>
          <w:szCs w:val="24"/>
        </w:rPr>
        <w:t xml:space="preserve"> </w:t>
      </w:r>
    </w:p>
    <w:p w14:paraId="2EFB39D3"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LAND, BUILDING AND EQUIPMENT FUNDS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values of land, buildings, leasehold and land improvements, construction in progress and capitalized equipment owned by the Army are disclosed in this fund, as well as mortgages or other liabilities relating to those assets. Most land, building and equipment values will be reported within, net assets without donor restrictions, but some values will be reported as year-end.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DONOR RESTRICTED FUNDS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LIFE INCOME AND GIFT ANNUITY FUNDS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This fund includes gifts made to The Salvation Army during the lifetime of the donor. The donor or joint donor-survivor participates in the income from the invested funds. Upon the death of the donor or joint-survivor, the remaining principal is released for distribution by the appropriate Salvation Army board.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If the ultimate purpose of the fund is permanently restricted, the allocable portion of the fund is reported as permanently restricted net assets. All other allocable funds are reported as temporarily restricted net assets. Upon release the funds either remain in temporarily restricted net assets or are transferred to unrestricted net assets, according to the terms of the original gift document. </w:t>
      </w:r>
      <w:r w:rsidRPr="002211DE">
        <w:rPr>
          <w:rFonts w:ascii="Arial" w:eastAsia="Times New Roman" w:hAnsi="Arial" w:cs="Arial"/>
          <w:sz w:val="24"/>
          <w:szCs w:val="24"/>
        </w:rPr>
        <w:t>In accordance with ASU No. 2016</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14, permanently restricted funds and temporarily restricted funds are reported in net assets with donor restrictions.</w:t>
      </w:r>
      <w:r w:rsidRPr="002211DE">
        <w:rPr>
          <w:rFonts w:ascii="Times New Roman" w:eastAsia="Times New Roman" w:hAnsi="Times New Roman" w:cs="Times New Roman"/>
          <w:sz w:val="24"/>
          <w:szCs w:val="24"/>
        </w:rPr>
        <w:t xml:space="preserve"> </w:t>
      </w:r>
    </w:p>
    <w:p w14:paraId="76E61270"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Arial" w:eastAsia="Times New Roman" w:hAnsi="Arial" w:cs="Arial"/>
          <w:sz w:val="24"/>
          <w:szCs w:val="24"/>
          <w:u w:val="single"/>
        </w:rPr>
        <w:t>TEMPORARILY RESTRICTED FUNDS</w:t>
      </w:r>
      <w:r w:rsidRPr="002211DE">
        <w:rPr>
          <w:rFonts w:ascii="Times New Roman" w:eastAsia="Times New Roman" w:hAnsi="Times New Roman" w:cs="Times New Roman"/>
          <w:sz w:val="24"/>
          <w:szCs w:val="24"/>
        </w:rPr>
        <w:t xml:space="preserve"> </w:t>
      </w:r>
    </w:p>
    <w:p w14:paraId="735E5B21" w14:textId="77777777" w:rsidR="002211DE" w:rsidRPr="002211DE" w:rsidRDefault="002211DE" w:rsidP="002211DE">
      <w:pPr>
        <w:spacing w:before="100" w:beforeAutospacing="1" w:after="100" w:afterAutospacing="1" w:line="240" w:lineRule="auto"/>
        <w:ind w:left="720"/>
        <w:rPr>
          <w:rFonts w:ascii="Times New Roman" w:eastAsia="Times New Roman" w:hAnsi="Times New Roman" w:cs="Times New Roman"/>
          <w:sz w:val="24"/>
          <w:szCs w:val="24"/>
        </w:rPr>
      </w:pPr>
      <w:r w:rsidRPr="002211DE">
        <w:rPr>
          <w:rFonts w:ascii="Arial" w:eastAsia="Times New Roman" w:hAnsi="Arial" w:cs="Arial"/>
          <w:sz w:val="24"/>
          <w:szCs w:val="24"/>
        </w:rPr>
        <w:t xml:space="preserve">Temporarily restricted funds are resources available for use only in accordance with purposes or time limits specified by the donor or grantor. These funds include donor restricted gifts and pledges, such as bequests, capital campaign donations, annuity and life income gifts, beneficial interest in trusts held by others </w:t>
      </w:r>
      <w:r w:rsidRPr="002211DE">
        <w:rPr>
          <w:rFonts w:ascii="Arial" w:eastAsia="Times New Roman" w:hAnsi="Arial" w:cs="Arial"/>
          <w:sz w:val="24"/>
          <w:szCs w:val="24"/>
        </w:rPr>
        <w:lastRenderedPageBreak/>
        <w:t>and earnings from endowments. In accordance with ASU No. 2016</w:t>
      </w:r>
      <w:r w:rsidRPr="002211DE">
        <w:rPr>
          <w:rFonts w:ascii="Times New Roman" w:eastAsia="Times New Roman" w:hAnsi="Times New Roman" w:cs="Times New Roman"/>
          <w:sz w:val="24"/>
          <w:szCs w:val="24"/>
        </w:rPr>
        <w:t>-</w:t>
      </w:r>
      <w:r w:rsidRPr="002211DE">
        <w:rPr>
          <w:rFonts w:ascii="Arial" w:eastAsia="Times New Roman" w:hAnsi="Arial" w:cs="Arial"/>
          <w:sz w:val="24"/>
          <w:szCs w:val="24"/>
        </w:rPr>
        <w:t>14, temporarily restricted funds are reported in net assets with donor restrictions.</w:t>
      </w:r>
      <w:r w:rsidRPr="002211DE">
        <w:rPr>
          <w:rFonts w:ascii="Times New Roman" w:eastAsia="Times New Roman" w:hAnsi="Times New Roman" w:cs="Times New Roman"/>
          <w:sz w:val="24"/>
          <w:szCs w:val="24"/>
        </w:rPr>
        <w:t xml:space="preserve"> </w:t>
      </w:r>
    </w:p>
    <w:p w14:paraId="05DAF85A"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PERMANENTLY RESTRICTED FUNDS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Included in this category are the original amounts of gifts and bequests accepted by The Salvation Army with the donor's stipulation that the principal be maintained in perpetuity. </w:t>
      </w:r>
      <w:r w:rsidRPr="002211DE">
        <w:rPr>
          <w:rFonts w:ascii="Arial" w:eastAsia="Times New Roman" w:hAnsi="Arial" w:cs="Arial"/>
          <w:sz w:val="24"/>
          <w:szCs w:val="24"/>
        </w:rPr>
        <w:t>These funds include donor restricted gifts, pledges and bequests wherein donors stipulate that the corpus of the gift be held in perpetuity (primarily gifts for endowment) and that only the income be made available for program operations. Other permanently restricted items include annuity and life income gifts, beneficial interest in trusts held by others and restricted earnings from endowments. In accordance with ASU No. 2016</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14, permanently restricted funds are reported in net assets with donor restrictions.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In summary, The Salvation Army fund groups fall within one or more FASB reporting classifications as follows: </w:t>
      </w:r>
    </w:p>
    <w:p w14:paraId="3C7655CF"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Net assets without donor restrictions: </w:t>
      </w:r>
    </w:p>
    <w:p w14:paraId="22C6BA1F" w14:textId="77777777" w:rsidR="002211DE" w:rsidRPr="002211DE" w:rsidRDefault="002211DE" w:rsidP="002211DE">
      <w:pPr>
        <w:spacing w:after="0" w:line="240" w:lineRule="auto"/>
        <w:ind w:left="216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Operating funds </w:t>
      </w:r>
      <w:r w:rsidRPr="002211DE">
        <w:rPr>
          <w:rFonts w:ascii="Times New Roman" w:eastAsia="Times New Roman" w:hAnsi="Times New Roman" w:cs="Times New Roman"/>
          <w:sz w:val="24"/>
          <w:szCs w:val="24"/>
        </w:rPr>
        <w:br/>
        <w:t xml:space="preserve">Board designated funds </w:t>
      </w:r>
      <w:r w:rsidRPr="002211DE">
        <w:rPr>
          <w:rFonts w:ascii="Times New Roman" w:eastAsia="Times New Roman" w:hAnsi="Times New Roman" w:cs="Times New Roman"/>
          <w:sz w:val="24"/>
          <w:szCs w:val="24"/>
        </w:rPr>
        <w:br/>
        <w:t xml:space="preserve">Land, building and equipment funds </w:t>
      </w:r>
      <w:r w:rsidRPr="002211DE">
        <w:rPr>
          <w:rFonts w:ascii="Times New Roman" w:eastAsia="Times New Roman" w:hAnsi="Times New Roman" w:cs="Times New Roman"/>
          <w:sz w:val="24"/>
          <w:szCs w:val="24"/>
        </w:rPr>
        <w:br/>
        <w:t xml:space="preserve">Life income and gift annuity funds </w:t>
      </w:r>
    </w:p>
    <w:p w14:paraId="3CDEFB86"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Net assets with donor restrictions: </w:t>
      </w:r>
    </w:p>
    <w:p w14:paraId="5164095D" w14:textId="77777777" w:rsidR="002211DE" w:rsidRPr="002211DE" w:rsidRDefault="002211DE" w:rsidP="002211DE">
      <w:pPr>
        <w:spacing w:after="240" w:line="240" w:lineRule="auto"/>
        <w:ind w:left="216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Temporarily restricted funds </w:t>
      </w:r>
      <w:r w:rsidRPr="002211DE">
        <w:rPr>
          <w:rFonts w:ascii="Times New Roman" w:eastAsia="Times New Roman" w:hAnsi="Times New Roman" w:cs="Times New Roman"/>
          <w:sz w:val="24"/>
          <w:szCs w:val="24"/>
        </w:rPr>
        <w:br/>
        <w:t xml:space="preserve">Permanently restricted funds </w:t>
      </w:r>
      <w:r w:rsidRPr="002211DE">
        <w:rPr>
          <w:rFonts w:ascii="Times New Roman" w:eastAsia="Times New Roman" w:hAnsi="Times New Roman" w:cs="Times New Roman"/>
          <w:sz w:val="24"/>
          <w:szCs w:val="24"/>
        </w:rPr>
        <w:br/>
        <w:t xml:space="preserve">Life income and gift annuity funds </w:t>
      </w:r>
      <w:r w:rsidRPr="002211DE">
        <w:rPr>
          <w:rFonts w:ascii="Times New Roman" w:eastAsia="Times New Roman" w:hAnsi="Times New Roman" w:cs="Times New Roman"/>
          <w:sz w:val="24"/>
          <w:szCs w:val="24"/>
        </w:rPr>
        <w:br/>
        <w:t xml:space="preserve">Land, building and equipment funds </w:t>
      </w:r>
    </w:p>
    <w:p w14:paraId="05C80BC8"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3</w:t>
      </w:r>
      <w:r w:rsidRPr="002211DE">
        <w:rPr>
          <w:rFonts w:ascii="Times New Roman" w:eastAsia="Times New Roman" w:hAnsi="Times New Roman" w:cs="Times New Roman"/>
          <w:sz w:val="24"/>
          <w:szCs w:val="24"/>
        </w:rPr>
        <w:t xml:space="preserve"> </w:t>
      </w:r>
    </w:p>
    <w:p w14:paraId="6678A6B6"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FUND RECORDKEEPING</w:t>
      </w:r>
      <w:r w:rsidRPr="002211DE">
        <w:rPr>
          <w:rFonts w:ascii="Times New Roman" w:eastAsia="Times New Roman" w:hAnsi="Times New Roman" w:cs="Times New Roman"/>
          <w:sz w:val="24"/>
          <w:szCs w:val="24"/>
        </w:rPr>
        <w:t xml:space="preserve"> </w:t>
      </w:r>
    </w:p>
    <w:p w14:paraId="3DA070A7"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Due to the size limitations of many units, some of the accounting records of their non-operating funds are maintained at their respective supervising headquarters. For example, at fiscal year-end the Divisional Headquarters provides the data to complete the preparation of the unit's annual financial report to the public. This information includes property maintenance, equipment replacement and other reserves held at Divisional Headquarters and funds held in trust at Territorial Headquarters, such as board designated funds, donor endowment funds, and capital campaign funds. The costs of land and buildings, and related depreciation, for each unit are also maintained by Territorial Headquarters.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All of the above funds are also classified by the respective headquarters as unrestricted, temporarily restricted, or permanently restricted depending upon the donor's intent when originally given to the Army unit. Such data is then incorporated into the financial statements by means of report entries. </w:t>
      </w:r>
    </w:p>
    <w:p w14:paraId="4F0E9D05"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INVESTMENTS</w:t>
      </w:r>
      <w:r w:rsidRPr="002211DE">
        <w:rPr>
          <w:rFonts w:ascii="Times New Roman" w:eastAsia="Times New Roman" w:hAnsi="Times New Roman" w:cs="Times New Roman"/>
          <w:sz w:val="24"/>
          <w:szCs w:val="24"/>
        </w:rPr>
        <w:t xml:space="preserve"> </w:t>
      </w:r>
    </w:p>
    <w:p w14:paraId="7EAAA74C"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lastRenderedPageBreak/>
        <w:br/>
        <w:t xml:space="preserve">The investment policies of The Salvation Army are structured to provide all centers of operation with the benefit of experienced and knowledgeable investment personnel. Investment portfolios are maintained at Territorial Headquarters for Life Income and Gift Annuity funds, Board Designated funds, Temporarily Restricted funds, Permanently Restricted funds and for other funds. The Temporarily Restricted and Permanently Restricted portfolios, excluding Life Income and Gift Annuity funds are maintained on a pooled "mutual fund" accounting basis with the total earnings, investment expenses, appreciation and depreciation, whether realized or unrealized, being allocated to each account on a pro rata basis. The Life Income and Gift Annuity funds are invested in accordance with applicable laws for such monies.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Income from certain Board Designated investment portfolios is distributed to the constituent accounts based upon a stated percentage of the account balances during the year. Thus many centers of operation, which would otherwise be unable to assume the risks inherent in investments, are assured of a stable source of income, with their investments safeguarded by the Territory's assuming the risks of market fluctuations. The Territorial Finance Council of each territory retains investment counsel and professional investment managers to assist it in fulfilling its fiduciary responsibilities. </w:t>
      </w:r>
    </w:p>
    <w:p w14:paraId="73E110AF"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LAND AND BUILDINGS</w:t>
      </w:r>
      <w:r w:rsidRPr="002211DE">
        <w:rPr>
          <w:rFonts w:ascii="Times New Roman" w:eastAsia="Times New Roman" w:hAnsi="Times New Roman" w:cs="Times New Roman"/>
          <w:sz w:val="24"/>
          <w:szCs w:val="24"/>
        </w:rPr>
        <w:t xml:space="preserve"> </w:t>
      </w:r>
    </w:p>
    <w:p w14:paraId="1C49F001"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Land and buildings purchased or buildings constructed for The Salvation Army are recorded at actual cost. Donated land and buildings are recorded at fair value during the year of acquisition.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Most operating units include the value of land and buildings in the fiscal year-end financial statements by means of report entries. Related expenditures are reported in the Statement of Activities during the year of acquisition.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It is the policy of The Salvation Army to record depreciation expense on buildings at a uniform annual rate based on their estimated useful lives.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Funds are set aside for property maintenance so that sufficient resources are available when needed for building repairs and other building related expenses. Individual units make regular payments (based on known costs and history of repairs) to their supervising headquarters. </w:t>
      </w:r>
    </w:p>
    <w:p w14:paraId="5B891587"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4</w:t>
      </w:r>
      <w:r w:rsidRPr="002211DE">
        <w:rPr>
          <w:rFonts w:ascii="Times New Roman" w:eastAsia="Times New Roman" w:hAnsi="Times New Roman" w:cs="Times New Roman"/>
          <w:sz w:val="24"/>
          <w:szCs w:val="24"/>
        </w:rPr>
        <w:t xml:space="preserve"> </w:t>
      </w:r>
    </w:p>
    <w:p w14:paraId="350BBA9A"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EQUIPMENT</w:t>
      </w:r>
      <w:r w:rsidRPr="002211DE">
        <w:rPr>
          <w:rFonts w:ascii="Times New Roman" w:eastAsia="Times New Roman" w:hAnsi="Times New Roman" w:cs="Times New Roman"/>
          <w:sz w:val="24"/>
          <w:szCs w:val="24"/>
        </w:rPr>
        <w:t xml:space="preserve"> </w:t>
      </w:r>
    </w:p>
    <w:p w14:paraId="1E0288A1"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The value of capitalizing expenditures for equipment must be assessed in the light of two criteria: (1) proper distribution of costs of such assets over their useful lives; and (2) the cost and effort associated with maintaining related inventory records.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With respect to most equipment acquisitions, the extensive effort required to maintain detailed inventory records would compel the Army to divert resources from program activities, but would not materially add to the accuracy of distributing asset cost, since the dollar values of such assets are relatively small. Accordingly, these equipment purchases or donations are not capitalized, but are recorded as current operating expenses.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Salvation Army recognizes that vehicles and certain other major equipment have dollar </w:t>
      </w:r>
      <w:r w:rsidRPr="002211DE">
        <w:rPr>
          <w:rFonts w:ascii="Times New Roman" w:eastAsia="Times New Roman" w:hAnsi="Times New Roman" w:cs="Times New Roman"/>
          <w:sz w:val="24"/>
          <w:szCs w:val="24"/>
        </w:rPr>
        <w:lastRenderedPageBreak/>
        <w:t xml:space="preserve">values of such significance that failure to capitalize them and distribute their cost over more than one fiscal year would materially distort the picture of annual expenses. The Salvation Army depreciates vehicles and major equipment costing more than $10,000 per item by journal entry at the end of each year. Payments approximately equal to depreciation are made from a unit's operating fund to vehicle and major equipment replacement reserves and are reported as transfers of operating unrestricted net assets to board designated net assets.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For certain programs and services, the Army is eligible for governmental and third-party reimbursement of depreciation charges. In these situations, the Army abides by the accounting requirements (including capitalization of equipment) of the reimbursing agencies; depreciation is then reflected as a non-funded charge in the report of operations to the reimbursing agency. </w:t>
      </w:r>
    </w:p>
    <w:p w14:paraId="6240446E"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REVENUE AND EXPENSE RECOGNITION</w:t>
      </w:r>
      <w:r w:rsidRPr="002211DE">
        <w:rPr>
          <w:rFonts w:ascii="Times New Roman" w:eastAsia="Times New Roman" w:hAnsi="Times New Roman" w:cs="Times New Roman"/>
          <w:sz w:val="24"/>
          <w:szCs w:val="24"/>
        </w:rPr>
        <w:t xml:space="preserve"> </w:t>
      </w:r>
    </w:p>
    <w:p w14:paraId="568E15CA"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The principal accounting methods affecting the timing of the recognition of revenue and expenses are the cash method and the accrual method. Under the cash method revenue is recognized when it is actually received, and expenses are recognized at the time payment is made. The accrual method requires the recording of all revenue when earned and expenses when incurred, regardless of whether or not resources have actually been received or payment made.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Salvation Army avails itself of the advantages of both cash method or accural methods, where appropriate. At fiscal year-end the accrual method is then used to recognize certain types of normal financial transactions, such as accounts receivable and accounts pay able.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fiscal year-end accrual of revenue and expenses is limited to material amounts. Materiality is determined on a unit-by-unit basis, depending on whether the financial statements would be misleading without their inclusion. Corps and other unit officers are advised to seek the assistance of their respective supervising headquarters in resolving questions of materiality. </w:t>
      </w:r>
    </w:p>
    <w:p w14:paraId="23E6BA74"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5</w:t>
      </w:r>
      <w:r w:rsidRPr="002211DE">
        <w:rPr>
          <w:rFonts w:ascii="Times New Roman" w:eastAsia="Times New Roman" w:hAnsi="Times New Roman" w:cs="Times New Roman"/>
          <w:sz w:val="24"/>
          <w:szCs w:val="24"/>
        </w:rPr>
        <w:t xml:space="preserve"> </w:t>
      </w:r>
    </w:p>
    <w:p w14:paraId="658BC656"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REVENUE</w:t>
      </w:r>
      <w:r w:rsidRPr="002211DE">
        <w:rPr>
          <w:rFonts w:ascii="Times New Roman" w:eastAsia="Times New Roman" w:hAnsi="Times New Roman" w:cs="Times New Roman"/>
          <w:sz w:val="24"/>
          <w:szCs w:val="24"/>
        </w:rPr>
        <w:t xml:space="preserve"> </w:t>
      </w:r>
    </w:p>
    <w:p w14:paraId="3E44B50C"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CONTRIBUTIONS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Contributions of cash or other assets, such as securities, land, buildings, use of facilities, materials and supplies, etc., are recorded at fair value at the date of donation as unrestricted revenue net assets without donor restrictions in the year received unless the donor has imposed some restriction or condition upon the use of the asset. In the event of restrictions or conditions, the assets are reported as part of net assets with donor restrictions until the restriction or condition is met, at which time the asset is released from restriction.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Donor restricted contributions whose restrictions are met in the same reporting period are reported as part of net assets without donor restrictions.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PLEDGES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Unconditional pledges or promises to give, including capital campaign pledges, are recognized as revenue in the year they are made, regardless of their payment schedules.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lastRenderedPageBreak/>
        <w:t xml:space="preserve">Unconditional pledges to be paid in the current reporting period are recognized </w:t>
      </w:r>
      <w:r w:rsidRPr="002211DE">
        <w:rPr>
          <w:rFonts w:ascii="Arial" w:eastAsia="Times New Roman" w:hAnsi="Arial" w:cs="Arial"/>
          <w:sz w:val="24"/>
          <w:szCs w:val="24"/>
        </w:rPr>
        <w:t>as revenue in net assets without donor restrictions</w:t>
      </w:r>
      <w:r w:rsidRPr="002211DE">
        <w:rPr>
          <w:rFonts w:ascii="Times New Roman" w:eastAsia="Times New Roman" w:hAnsi="Times New Roman" w:cs="Times New Roman"/>
          <w:sz w:val="24"/>
          <w:szCs w:val="24"/>
        </w:rPr>
        <w:t xml:space="preserve">. </w:t>
      </w:r>
      <w:r w:rsidRPr="002211DE">
        <w:rPr>
          <w:rFonts w:ascii="Arial" w:eastAsia="Times New Roman" w:hAnsi="Arial" w:cs="Arial"/>
          <w:sz w:val="24"/>
          <w:szCs w:val="24"/>
        </w:rPr>
        <w:t xml:space="preserve">Promises to give that are scheduled to be received after the end of the reporting period and/or restricted by the donor for a specific purpose, are recorded as increases to revenue in net assets with donor restrictions and released from restriction when the purpose and/or time restriction is met.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Arial" w:eastAsia="Times New Roman" w:hAnsi="Arial" w:cs="Arial"/>
          <w:sz w:val="24"/>
          <w:szCs w:val="24"/>
        </w:rPr>
        <w:t xml:space="preserve">Contributions to be received after one year are discounted at the rate applicable to the year in which the pledge was made. The total amount may be modified for collectability based on experience.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Other conditional pledges and promises to give, which depend on the occurrence of a specified future but uncertain event to bind the donor or promisor, shall be recognized only when the conditions are substantially met, that is, when the conditional promise becomes unconditional: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LEGACIES AND BEQUESTS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Giving through bequests and trusts has long been encouraged by The Salvation Army. Printed material disseminated by the Army has generally indicated that this type of gift will be used for capital purposes. Many donors have found this type of contribution to be gratifying, since it memorializes their identification with the charitable purposes of The Salvation Army by committing these gifts to the funding of permanent facilities.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All bequests and other related gifts that are not donor restricted, as to use are principally designated by the Board of Trustees/Directors for the operating or capital needs of Army operations in the geographical area of the donor's domicile.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Unless otherwise restricted by the donor, all bequests and trusts are reported as Board designated funds under net assets without donor restrictions. </w:t>
      </w:r>
    </w:p>
    <w:p w14:paraId="6CE26519"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6</w:t>
      </w:r>
      <w:r w:rsidRPr="002211DE">
        <w:rPr>
          <w:rFonts w:ascii="Times New Roman" w:eastAsia="Times New Roman" w:hAnsi="Times New Roman" w:cs="Times New Roman"/>
          <w:sz w:val="24"/>
          <w:szCs w:val="24"/>
        </w:rPr>
        <w:t xml:space="preserve"> </w:t>
      </w:r>
    </w:p>
    <w:p w14:paraId="444D64D2" w14:textId="77777777" w:rsidR="002211DE" w:rsidRPr="002211DE" w:rsidRDefault="002211DE" w:rsidP="002211DE">
      <w:pPr>
        <w:spacing w:after="24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GRANTS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Grants from foundations, business organizations or government agencies other than exchange transactions that are not designated for future years are recorded as revenue within net assets without donor restrictions in the year in which the grant is received.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Grants restricted designated for a future year's operations are reported as revenue within net assets with donor restrictions.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CONTRIBUTED SERVICES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Contributed services are reported as contributions at their fair value if such services 1) create or enhance nonfinancial assets, 2) would typically need to be purchased if not provided by contribution, require specialized skills and are provided by individuals possessing such specialized skills. In addition, the appropriate value of donated services of individuals is recorded as an expense when such services qualify for cost reimbursement from third-parties.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Arial" w:eastAsia="Times New Roman" w:hAnsi="Arial" w:cs="Arial"/>
          <w:sz w:val="24"/>
          <w:szCs w:val="24"/>
        </w:rPr>
        <w:t xml:space="preserve">The Salvation Army has a significant number of volunteers who contribute meaningful </w:t>
      </w:r>
      <w:r w:rsidRPr="002211DE">
        <w:rPr>
          <w:rFonts w:ascii="Arial" w:eastAsia="Times New Roman" w:hAnsi="Arial" w:cs="Arial"/>
          <w:sz w:val="24"/>
          <w:szCs w:val="24"/>
        </w:rPr>
        <w:lastRenderedPageBreak/>
        <w:t>amounts of time in furtherance of the Salvation Army’s mission. Such contributions do not meet generally accepted accounting criteria for recognition as contributed services and, accordingly, are not recorded in the Statement of Activities.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DONATIONS OF PROPERTY, EQUIPMENT AND MATERIALS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Donations of land, buildings and other major capital items are included in the Statement of Activities in the year they are received. The value assigned to an item is the appraised value at the time of the donation. Units that receive the use of a building partially or completely rent-free, report as a donation the difference between the rent paid and the fair market value of the space occupied to the extent that such value may be objectively determined.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DONATIONS OF MATERIALS FOR RESALE</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Donations of certain kinds of materials are solicited by The Salvation Army for support of its mission , which is carried out throughout the United States in Adult Rehabilitation Centers, Corps Salvage and Rehabilitation Centers and Adult Rehabilitation Programs. Materials received at the Centers are processed for sale to the public in Salvation Army Thrift Stores managed by these units.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 predetermined percentage is applied to the sales proceeds to establish the value of the material at the time of donation. Because the Center is functioning merely in a custodial capacity, the value of donated materials is shown as revenue in the financial statements of each Center's supervising headquarters. The remaining sales revenue (net of donated values) is reflected in the "sales to the public" category in the Center's Statement of Activities. The expenses involved in carrying out the program in which the materials are collected and processed (payments to employees and gratuities to beneficiaries, rent, food, truck expense. etc.) are reported as program service expenses of the Center. </w:t>
      </w:r>
    </w:p>
    <w:p w14:paraId="6821A620"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7</w:t>
      </w:r>
      <w:r w:rsidRPr="002211DE">
        <w:rPr>
          <w:rFonts w:ascii="Times New Roman" w:eastAsia="Times New Roman" w:hAnsi="Times New Roman" w:cs="Times New Roman"/>
          <w:sz w:val="24"/>
          <w:szCs w:val="24"/>
        </w:rPr>
        <w:t xml:space="preserve"> </w:t>
      </w:r>
    </w:p>
    <w:p w14:paraId="6DEF11A8"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EXPENSES</w:t>
      </w:r>
      <w:r w:rsidRPr="002211DE">
        <w:rPr>
          <w:rFonts w:ascii="Times New Roman" w:eastAsia="Times New Roman" w:hAnsi="Times New Roman" w:cs="Times New Roman"/>
          <w:sz w:val="24"/>
          <w:szCs w:val="24"/>
        </w:rPr>
        <w:t xml:space="preserve"> </w:t>
      </w:r>
    </w:p>
    <w:p w14:paraId="078559CA"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Army has developed guidelines for functional expense allocations based on program and service classifications consistent with those recognized by funding organizations. In many units, these guidelines have been refined to incorporate detailed cost accounting. All expenses are recognized as unrestricted and therefore included in net assets without donor restrictions.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Within the structure of The Salvation Army, there are many management functions which are indispensable to the effectiveness of direct services to people. These support functions are centralized in Divisional/Command Headquarters and four Territorial Headquarters within the United States. The cost of these support services is funded through payments to the respective supervising headquarters by each operating unit. These payments are based on a percentage of each operating unit's income and are reflected in the Statement of Functional Expenses as "Support services." </w:t>
      </w:r>
    </w:p>
    <w:p w14:paraId="21D24252"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8</w:t>
      </w:r>
      <w:r w:rsidRPr="002211DE">
        <w:rPr>
          <w:rFonts w:ascii="Times New Roman" w:eastAsia="Times New Roman" w:hAnsi="Times New Roman" w:cs="Times New Roman"/>
          <w:sz w:val="24"/>
          <w:szCs w:val="24"/>
        </w:rPr>
        <w:t xml:space="preserve"> </w:t>
      </w:r>
    </w:p>
    <w:p w14:paraId="1A471683" w14:textId="77777777" w:rsidR="002211DE" w:rsidRPr="002211DE" w:rsidRDefault="002211DE" w:rsidP="002211DE">
      <w:pPr>
        <w:spacing w:after="0" w:line="240" w:lineRule="auto"/>
        <w:jc w:val="center"/>
        <w:rPr>
          <w:rFonts w:ascii="Times New Roman" w:eastAsia="Times New Roman" w:hAnsi="Times New Roman" w:cs="Times New Roman"/>
          <w:sz w:val="24"/>
          <w:szCs w:val="24"/>
        </w:rPr>
      </w:pPr>
      <w:r w:rsidRPr="002211DE">
        <w:rPr>
          <w:rFonts w:ascii="Times New Roman" w:eastAsia="Times New Roman" w:hAnsi="Times New Roman" w:cs="Times New Roman"/>
          <w:b/>
          <w:bCs/>
          <w:sz w:val="24"/>
          <w:szCs w:val="24"/>
        </w:rPr>
        <w:lastRenderedPageBreak/>
        <w:t>CHAPTER II</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GENERAL PURPOSE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FINANCIAL STATEMENTS </w:t>
      </w:r>
    </w:p>
    <w:p w14:paraId="34376772"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The adoption of standardized reporting formats and nomenclature by The Salvation Army and other not-for-profit agencies is an important step in the development and publication of uniform financial statements which can assist the public in its appraisal of these groups.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STANDARD FINANCIAL STATEMENTS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four basic financial statements prepared by The Salvation Army for annual reporting to the public are: </w:t>
      </w:r>
    </w:p>
    <w:p w14:paraId="4C8861AC"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Statement of Financial Position </w:t>
      </w:r>
      <w:r w:rsidRPr="002211DE">
        <w:rPr>
          <w:rFonts w:ascii="Times New Roman" w:eastAsia="Times New Roman" w:hAnsi="Times New Roman" w:cs="Times New Roman"/>
          <w:sz w:val="24"/>
          <w:szCs w:val="24"/>
        </w:rPr>
        <w:br/>
        <w:t xml:space="preserve">Statement of Activities </w:t>
      </w:r>
      <w:r w:rsidRPr="002211DE">
        <w:rPr>
          <w:rFonts w:ascii="Times New Roman" w:eastAsia="Times New Roman" w:hAnsi="Times New Roman" w:cs="Times New Roman"/>
          <w:sz w:val="24"/>
          <w:szCs w:val="24"/>
        </w:rPr>
        <w:br/>
        <w:t xml:space="preserve">Statement of Functional Expenses </w:t>
      </w:r>
      <w:r w:rsidRPr="002211DE">
        <w:rPr>
          <w:rFonts w:ascii="Times New Roman" w:eastAsia="Times New Roman" w:hAnsi="Times New Roman" w:cs="Times New Roman"/>
          <w:sz w:val="24"/>
          <w:szCs w:val="24"/>
        </w:rPr>
        <w:br/>
        <w:t xml:space="preserve">Statement of Cash Flows </w:t>
      </w:r>
    </w:p>
    <w:p w14:paraId="2717D47C"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For most centers of activity it is necessary to supplement the four basic statements with explanatory exhibits and a series of footnotes to further clarify the statements and underlying accounting practices.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DISCLOSURE OF SUMMARY OF SIGNIFICANT ACCOUNTING POLICIES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As an integral part of every published annual financial independent audit a summary of significant accounting policies will be included as a footnote to the financial statements. The summary is contained in a national policy statement entitled "Certified Audit Reports - Concise Accounting Policy."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COMBINED FINANCIAL STATEMENTS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Salvation Army generally publishes combined financial statements for geographical areas where more than one operating unit provides services. For example, within a large city the service activities of small corps, multi-service corps, Adult Rehabilitation Centers, and other Army units are included in a combined city report. This combined reporting provides a meaningful disclosure of all Salvation Army activities in that geographical area.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u w:val="single"/>
        </w:rPr>
        <w:t>STATEMENT OF FINANCIAL POSITION</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Assets and liabilities are classified as indicated in this document under "Salvation Army Fund Accounting." </w:t>
      </w:r>
    </w:p>
    <w:p w14:paraId="583F5A15"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9</w:t>
      </w:r>
      <w:r w:rsidRPr="002211DE">
        <w:rPr>
          <w:rFonts w:ascii="Times New Roman" w:eastAsia="Times New Roman" w:hAnsi="Times New Roman" w:cs="Times New Roman"/>
          <w:sz w:val="24"/>
          <w:szCs w:val="24"/>
        </w:rPr>
        <w:t xml:space="preserve"> </w:t>
      </w:r>
    </w:p>
    <w:p w14:paraId="116FCAF2"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STATEMENT OF ACTIVITIES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All revenue and support from the public received or accrued during the year is reported in the Statement of Activities. Revenue consists of amounts earned by a unit through provision of </w:t>
      </w:r>
      <w:r w:rsidRPr="002211DE">
        <w:rPr>
          <w:rFonts w:ascii="Times New Roman" w:eastAsia="Times New Roman" w:hAnsi="Times New Roman" w:cs="Times New Roman"/>
          <w:sz w:val="24"/>
          <w:szCs w:val="24"/>
        </w:rPr>
        <w:lastRenderedPageBreak/>
        <w:t xml:space="preserve">services, sales, investments or other income-producing activities. Support from the public consists of all charitable giving in support of The Salvation Army and includes such items as contributions, bequests, endowments, and amounts allocated by federated fund-raising organizations.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In reporting public support and revenues, the following guidelines are applied: </w:t>
      </w:r>
    </w:p>
    <w:p w14:paraId="08C96E4C"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Public support received directly: </w:t>
      </w:r>
    </w:p>
    <w:p w14:paraId="32991EEB"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Contributions include only donations by individuals and corporations for which the donor receives no direct private benefit. </w:t>
      </w:r>
    </w:p>
    <w:p w14:paraId="3743F7E3"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Contributions received in support of a campaign to provide a financial base or capital for major property or program additions are separately disclosed.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Contributions in kind are recorded at fair market value and are disclosed in the statements if their omission would cause the Statement of Activities to be misleading and if there is an objective, clearly measurable basis for the value, such as price lists, appraisals, etc.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Legacies and bequests designated by will or other donor instrument are recorded in the appropriate asset classification depending upon donor-restrictions.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Contributed services are reported only if they meet the criteria stated under the "Donated Services" caption above. </w:t>
      </w:r>
    </w:p>
    <w:p w14:paraId="45898320"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Public support received indirectly: </w:t>
      </w:r>
    </w:p>
    <w:p w14:paraId="47783D4A"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Allocations, appropriations and other forms of financial support received from federated fund-raising organizations are disclosed as "Allocations by federated fund-raising organizations."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Revenue and grants from governmental organizations: </w:t>
      </w:r>
    </w:p>
    <w:p w14:paraId="6AD4117A"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All forms of revenue received from government sources, including fees, grants, contract payments, and purchase-of-service payments, are disclosed in this category. </w:t>
      </w:r>
    </w:p>
    <w:p w14:paraId="64AF6E1A"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Other revenue: </w:t>
      </w:r>
    </w:p>
    <w:p w14:paraId="391FD428"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This category includes the following: </w:t>
      </w:r>
    </w:p>
    <w:p w14:paraId="151ACDE9"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Membership dues that procure directly for the member tangible benefits commensurate in value with the amount of the dues.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Support service assessment income from units within a command area.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Program service fees received either from the recipient of services or non-governmental third parties for health and welfare services. </w:t>
      </w:r>
    </w:p>
    <w:p w14:paraId="405A3325"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10</w:t>
      </w:r>
      <w:r w:rsidRPr="002211DE">
        <w:rPr>
          <w:rFonts w:ascii="Times New Roman" w:eastAsia="Times New Roman" w:hAnsi="Times New Roman" w:cs="Times New Roman"/>
          <w:sz w:val="24"/>
          <w:szCs w:val="24"/>
        </w:rPr>
        <w:t xml:space="preserve"> </w:t>
      </w:r>
    </w:p>
    <w:p w14:paraId="5F68E190"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Sales to the public (thrift store income - War Cry sales)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Investment return.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Sundry or miscellaneous revenue, only in those few instances where revenue does not fit into a designated support or revenue classification. </w:t>
      </w:r>
    </w:p>
    <w:p w14:paraId="55A24A52"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Net assets released from restrictions: </w:t>
      </w:r>
    </w:p>
    <w:p w14:paraId="4E0A130A"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lastRenderedPageBreak/>
        <w:t xml:space="preserve">&gt; Amounts recorded as reclassifications from net assets with donor restrictions to net assets without donor restrictions due to satisfaction of program or time restrictions. </w:t>
      </w:r>
    </w:p>
    <w:p w14:paraId="73894C02"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STATEMENT OF FUNCTIONAL EXPENSES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following policies, which conform to principles promulgated in various standards issued by the Financial Accounting Standards Board and the American Institute of Certified Public Accountants, have been adopted to facilitate proper reporting in the Statement of Functional Expenses.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&gt; The Statement includes </w:t>
      </w:r>
      <w:r w:rsidRPr="002211DE">
        <w:rPr>
          <w:rFonts w:ascii="Times New Roman" w:eastAsia="Times New Roman" w:hAnsi="Times New Roman" w:cs="Times New Roman"/>
          <w:sz w:val="24"/>
          <w:szCs w:val="24"/>
          <w:u w:val="single"/>
        </w:rPr>
        <w:t>all</w:t>
      </w:r>
      <w:r w:rsidRPr="002211DE">
        <w:rPr>
          <w:rFonts w:ascii="Times New Roman" w:eastAsia="Times New Roman" w:hAnsi="Times New Roman" w:cs="Times New Roman"/>
          <w:sz w:val="24"/>
          <w:szCs w:val="24"/>
        </w:rPr>
        <w:t xml:space="preserve"> expenses of the reporting entity, except for internal and external investment expenses that are presented net of investment return. </w:t>
      </w:r>
    </w:p>
    <w:p w14:paraId="7535DFB6"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Expenditures for activities that are an integral and inseparable part of an appeal for financial support are reported as fund-raising expenses. </w:t>
      </w:r>
    </w:p>
    <w:p w14:paraId="2ED4340B"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&gt; The reporting of public education as a program service is restricted to those expenditures for materials and activities that are problem- or service-oriented, and which make an effort to tell individuals what they can or should do about a problem. </w:t>
      </w:r>
    </w:p>
    <w:p w14:paraId="1DDD4544"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Expenditures in connection with unit-oriented informational programs designed to interest particular groups in participating in one or another of the Army's primary programs are included as expenses of the particular service or services to which they relate. </w:t>
      </w:r>
    </w:p>
    <w:p w14:paraId="4CB70F2E"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br/>
        <w:t xml:space="preserve">&gt; Cost of informational materials and activities are accounted for as fund-raising expenses if they: </w:t>
      </w:r>
    </w:p>
    <w:p w14:paraId="25CE2A82"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1. Include as an essential element an appeal for financial support; </w:t>
      </w:r>
    </w:p>
    <w:p w14:paraId="71418C0C" w14:textId="77777777" w:rsidR="002211DE" w:rsidRPr="002211DE" w:rsidRDefault="002211DE" w:rsidP="002211DE">
      <w:pPr>
        <w:spacing w:after="0" w:line="240" w:lineRule="auto"/>
        <w:ind w:left="720"/>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2. Are distributed or conducted primarily as part of an organized fund-raising effort or in preparation thereof;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3. Are primarily for the benefit of individuals soliciting financial support for a unit or likely to contribute to it. </w:t>
      </w:r>
    </w:p>
    <w:p w14:paraId="7AA6ABDB"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&gt; Informational programs, publications and public relations events that relate to the unit's services, but which are neither designated to educate those intended to be served by the unit nor call for specific action related to the programs of The Salvation Army, are considered to be in the service of fund-raising; related expenditures are accounted for as fund-raising expenses. </w:t>
      </w:r>
    </w:p>
    <w:p w14:paraId="671BE85E" w14:textId="77777777" w:rsidR="002211DE" w:rsidRPr="002211DE" w:rsidRDefault="002211DE" w:rsidP="002211DE">
      <w:pPr>
        <w:spacing w:after="0" w:line="240" w:lineRule="auto"/>
        <w:jc w:val="right"/>
        <w:rPr>
          <w:rFonts w:ascii="Times New Roman" w:eastAsia="Times New Roman" w:hAnsi="Times New Roman" w:cs="Times New Roman"/>
          <w:sz w:val="24"/>
          <w:szCs w:val="24"/>
        </w:rPr>
      </w:pPr>
      <w:r w:rsidRPr="002211DE">
        <w:rPr>
          <w:rFonts w:ascii="Times New Roman" w:eastAsia="Times New Roman" w:hAnsi="Times New Roman" w:cs="Times New Roman"/>
          <w:b/>
          <w:bCs/>
          <w:sz w:val="20"/>
          <w:szCs w:val="20"/>
        </w:rPr>
        <w:t>Page 11</w:t>
      </w:r>
      <w:r w:rsidRPr="002211DE">
        <w:rPr>
          <w:rFonts w:ascii="Times New Roman" w:eastAsia="Times New Roman" w:hAnsi="Times New Roman" w:cs="Times New Roman"/>
          <w:sz w:val="24"/>
          <w:szCs w:val="24"/>
        </w:rPr>
        <w:t xml:space="preserve"> </w:t>
      </w:r>
    </w:p>
    <w:p w14:paraId="34AE4912"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u w:val="single"/>
        </w:rPr>
        <w:t>STATEMENT OF CASH FLOWS</w:t>
      </w:r>
      <w:r w:rsidRPr="002211DE">
        <w:rPr>
          <w:rFonts w:ascii="Times New Roman" w:eastAsia="Times New Roman" w:hAnsi="Times New Roman" w:cs="Times New Roman"/>
          <w:sz w:val="24"/>
          <w:szCs w:val="24"/>
        </w:rPr>
        <w:t xml:space="preserve">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primary purpose of a statement of cash flows is to provide relevant information about the cash receipts and cash disbursements of an organization during a period. </w:t>
      </w:r>
      <w:r w:rsidRPr="002211DE">
        <w:rPr>
          <w:rFonts w:ascii="Times New Roman" w:eastAsia="Times New Roman" w:hAnsi="Times New Roman" w:cs="Times New Roman"/>
          <w:sz w:val="24"/>
          <w:szCs w:val="24"/>
        </w:rPr>
        <w:br/>
      </w:r>
      <w:r w:rsidRPr="002211DE">
        <w:rPr>
          <w:rFonts w:ascii="Times New Roman" w:eastAsia="Times New Roman" w:hAnsi="Times New Roman" w:cs="Times New Roman"/>
          <w:sz w:val="24"/>
          <w:szCs w:val="24"/>
        </w:rPr>
        <w:br/>
        <w:t xml:space="preserve">The Army has elected to prepare its cash flow statements on the indirect method rather than the direct method. </w:t>
      </w:r>
    </w:p>
    <w:p w14:paraId="1D361919"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Print Version </w:t>
      </w:r>
    </w:p>
    <w:p w14:paraId="3F6D9A97" w14:textId="77777777" w:rsidR="002211DE" w:rsidRPr="002211DE" w:rsidRDefault="002211DE" w:rsidP="002211DE">
      <w:pPr>
        <w:spacing w:before="100" w:beforeAutospacing="1" w:after="100" w:afterAutospacing="1"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w:t>
      </w:r>
    </w:p>
    <w:p w14:paraId="6AD069C5"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t xml:space="preserve">Old Minute # </w:t>
      </w:r>
    </w:p>
    <w:p w14:paraId="58769F61" w14:textId="77777777" w:rsidR="002211DE" w:rsidRPr="002211DE" w:rsidRDefault="002211DE" w:rsidP="002211DE">
      <w:pPr>
        <w:spacing w:before="100" w:beforeAutospacing="1" w:after="100" w:afterAutospacing="1"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sz w:val="24"/>
          <w:szCs w:val="24"/>
        </w:rPr>
        <w:lastRenderedPageBreak/>
        <w:t> </w:t>
      </w:r>
    </w:p>
    <w:p w14:paraId="59CD2CF8" w14:textId="77777777" w:rsidR="002211DE" w:rsidRPr="002211DE" w:rsidRDefault="002211DE" w:rsidP="002211DE">
      <w:pPr>
        <w:spacing w:after="0" w:line="240" w:lineRule="auto"/>
        <w:rPr>
          <w:rFonts w:ascii="Times New Roman" w:eastAsia="Times New Roman" w:hAnsi="Times New Roman" w:cs="Times New Roman"/>
          <w:sz w:val="24"/>
          <w:szCs w:val="24"/>
        </w:rPr>
      </w:pPr>
      <w:r w:rsidRPr="002211DE">
        <w:rPr>
          <w:rFonts w:ascii="Times New Roman" w:eastAsia="Times New Roman" w:hAnsi="Times New Roman" w:cs="Times New Roman"/>
          <w:b/>
          <w:bCs/>
          <w:sz w:val="24"/>
          <w:szCs w:val="24"/>
        </w:rPr>
        <w:t>Notes Transformer Version</w:t>
      </w:r>
      <w:r w:rsidRPr="002211DE">
        <w:rPr>
          <w:rFonts w:ascii="Times New Roman" w:eastAsia="Times New Roman" w:hAnsi="Times New Roman" w:cs="Times New Roman"/>
          <w:sz w:val="24"/>
          <w:szCs w:val="24"/>
        </w:rPr>
        <w:t xml:space="preserve"> 1.1.69 </w:t>
      </w:r>
    </w:p>
    <w:p w14:paraId="5E06621C" w14:textId="13A50E69" w:rsidR="002211DE" w:rsidRDefault="002211DE" w:rsidP="002211DE">
      <w:pPr>
        <w:rPr>
          <w:rFonts w:ascii="Times New Roman" w:eastAsia="Times New Roman" w:hAnsi="Times New Roman" w:cs="Times New Roman"/>
          <w:sz w:val="24"/>
          <w:szCs w:val="24"/>
        </w:rPr>
      </w:pPr>
      <w:r w:rsidRPr="002211DE">
        <w:rPr>
          <w:rFonts w:ascii="Times New Roman" w:eastAsia="Times New Roman" w:hAnsi="Times New Roman" w:cs="Times New Roman"/>
          <w:b/>
          <w:bCs/>
          <w:sz w:val="24"/>
          <w:szCs w:val="24"/>
        </w:rPr>
        <w:t xml:space="preserve">Copyright © 2018-2022 </w:t>
      </w:r>
      <w:hyperlink r:id="rId4" w:history="1">
        <w:r w:rsidRPr="002211DE">
          <w:rPr>
            <w:rFonts w:ascii="Times New Roman" w:eastAsia="Times New Roman" w:hAnsi="Times New Roman" w:cs="Times New Roman"/>
            <w:b/>
            <w:bCs/>
            <w:color w:val="0000FF"/>
            <w:sz w:val="24"/>
            <w:szCs w:val="24"/>
            <w:u w:val="single"/>
          </w:rPr>
          <w:t>The Salvation Army</w:t>
        </w:r>
      </w:hyperlink>
      <w:r w:rsidRPr="002211DE">
        <w:rPr>
          <w:rFonts w:ascii="Times New Roman" w:eastAsia="Times New Roman" w:hAnsi="Times New Roman" w:cs="Times New Roman"/>
          <w:b/>
          <w:bCs/>
          <w:sz w:val="24"/>
          <w:szCs w:val="24"/>
        </w:rPr>
        <w:t xml:space="preserve">. </w:t>
      </w:r>
      <w:r w:rsidRPr="002211DE">
        <w:rPr>
          <w:rFonts w:ascii="Times New Roman" w:eastAsia="Times New Roman" w:hAnsi="Times New Roman" w:cs="Times New Roman"/>
          <w:sz w:val="24"/>
          <w:szCs w:val="24"/>
        </w:rPr>
        <w:t>All rights reserved.</w:t>
      </w:r>
    </w:p>
    <w:p w14:paraId="3E269DF9" w14:textId="77777777" w:rsidR="002211DE" w:rsidRDefault="002211D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296F0EA" w14:textId="77777777" w:rsidR="00A37654" w:rsidRDefault="00A37654" w:rsidP="002211DE"/>
    <w:sectPr w:rsidR="00A37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DE"/>
    <w:rsid w:val="002211DE"/>
    <w:rsid w:val="0040331B"/>
    <w:rsid w:val="00A37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559C"/>
  <w15:chartTrackingRefBased/>
  <w15:docId w15:val="{C996AE44-FAE0-4D5F-A710-3D1CE754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803840">
      <w:bodyDiv w:val="1"/>
      <w:marLeft w:val="0"/>
      <w:marRight w:val="0"/>
      <w:marTop w:val="0"/>
      <w:marBottom w:val="0"/>
      <w:divBdr>
        <w:top w:val="none" w:sz="0" w:space="0" w:color="auto"/>
        <w:left w:val="none" w:sz="0" w:space="0" w:color="auto"/>
        <w:bottom w:val="none" w:sz="0" w:space="0" w:color="auto"/>
        <w:right w:val="none" w:sz="0" w:space="0" w:color="auto"/>
      </w:divBdr>
      <w:divsChild>
        <w:div w:id="2061316909">
          <w:marLeft w:val="0"/>
          <w:marRight w:val="0"/>
          <w:marTop w:val="0"/>
          <w:marBottom w:val="0"/>
          <w:divBdr>
            <w:top w:val="none" w:sz="0" w:space="0" w:color="auto"/>
            <w:left w:val="none" w:sz="0" w:space="0" w:color="auto"/>
            <w:bottom w:val="none" w:sz="0" w:space="0" w:color="auto"/>
            <w:right w:val="none" w:sz="0" w:space="0" w:color="auto"/>
          </w:divBdr>
          <w:divsChild>
            <w:div w:id="1619146932">
              <w:marLeft w:val="0"/>
              <w:marRight w:val="0"/>
              <w:marTop w:val="0"/>
              <w:marBottom w:val="0"/>
              <w:divBdr>
                <w:top w:val="none" w:sz="0" w:space="0" w:color="auto"/>
                <w:left w:val="none" w:sz="0" w:space="0" w:color="auto"/>
                <w:bottom w:val="none" w:sz="0" w:space="0" w:color="auto"/>
                <w:right w:val="none" w:sz="0" w:space="0" w:color="auto"/>
              </w:divBdr>
              <w:divsChild>
                <w:div w:id="1596284327">
                  <w:marLeft w:val="0"/>
                  <w:marRight w:val="0"/>
                  <w:marTop w:val="0"/>
                  <w:marBottom w:val="0"/>
                  <w:divBdr>
                    <w:top w:val="none" w:sz="0" w:space="0" w:color="auto"/>
                    <w:left w:val="none" w:sz="0" w:space="0" w:color="auto"/>
                    <w:bottom w:val="none" w:sz="0" w:space="0" w:color="auto"/>
                    <w:right w:val="none" w:sz="0" w:space="0" w:color="auto"/>
                  </w:divBdr>
                  <w:divsChild>
                    <w:div w:id="2064214102">
                      <w:marLeft w:val="0"/>
                      <w:marRight w:val="0"/>
                      <w:marTop w:val="0"/>
                      <w:marBottom w:val="0"/>
                      <w:divBdr>
                        <w:top w:val="none" w:sz="0" w:space="0" w:color="auto"/>
                        <w:left w:val="none" w:sz="0" w:space="0" w:color="auto"/>
                        <w:bottom w:val="none" w:sz="0" w:space="0" w:color="auto"/>
                        <w:right w:val="none" w:sz="0" w:space="0" w:color="auto"/>
                      </w:divBdr>
                      <w:divsChild>
                        <w:div w:id="1700934566">
                          <w:marLeft w:val="0"/>
                          <w:marRight w:val="0"/>
                          <w:marTop w:val="0"/>
                          <w:marBottom w:val="0"/>
                          <w:divBdr>
                            <w:top w:val="none" w:sz="0" w:space="0" w:color="auto"/>
                            <w:left w:val="none" w:sz="0" w:space="0" w:color="auto"/>
                            <w:bottom w:val="none" w:sz="0" w:space="0" w:color="auto"/>
                            <w:right w:val="none" w:sz="0" w:space="0" w:color="auto"/>
                          </w:divBdr>
                          <w:divsChild>
                            <w:div w:id="737172459">
                              <w:marLeft w:val="0"/>
                              <w:marRight w:val="0"/>
                              <w:marTop w:val="0"/>
                              <w:marBottom w:val="0"/>
                              <w:divBdr>
                                <w:top w:val="none" w:sz="0" w:space="0" w:color="auto"/>
                                <w:left w:val="none" w:sz="0" w:space="0" w:color="auto"/>
                                <w:bottom w:val="none" w:sz="0" w:space="0" w:color="auto"/>
                                <w:right w:val="none" w:sz="0" w:space="0" w:color="auto"/>
                              </w:divBdr>
                              <w:divsChild>
                                <w:div w:id="826629883">
                                  <w:marLeft w:val="0"/>
                                  <w:marRight w:val="0"/>
                                  <w:marTop w:val="0"/>
                                  <w:marBottom w:val="0"/>
                                  <w:divBdr>
                                    <w:top w:val="none" w:sz="0" w:space="0" w:color="auto"/>
                                    <w:left w:val="none" w:sz="0" w:space="0" w:color="auto"/>
                                    <w:bottom w:val="none" w:sz="0" w:space="0" w:color="auto"/>
                                    <w:right w:val="none" w:sz="0" w:space="0" w:color="auto"/>
                                  </w:divBdr>
                                </w:div>
                                <w:div w:id="1590239012">
                                  <w:marLeft w:val="0"/>
                                  <w:marRight w:val="0"/>
                                  <w:marTop w:val="0"/>
                                  <w:marBottom w:val="0"/>
                                  <w:divBdr>
                                    <w:top w:val="none" w:sz="0" w:space="0" w:color="auto"/>
                                    <w:left w:val="none" w:sz="0" w:space="0" w:color="auto"/>
                                    <w:bottom w:val="none" w:sz="0" w:space="0" w:color="auto"/>
                                    <w:right w:val="none" w:sz="0" w:space="0" w:color="auto"/>
                                  </w:divBdr>
                                </w:div>
                                <w:div w:id="1148672334">
                                  <w:marLeft w:val="0"/>
                                  <w:marRight w:val="0"/>
                                  <w:marTop w:val="0"/>
                                  <w:marBottom w:val="0"/>
                                  <w:divBdr>
                                    <w:top w:val="none" w:sz="0" w:space="0" w:color="auto"/>
                                    <w:left w:val="none" w:sz="0" w:space="0" w:color="auto"/>
                                    <w:bottom w:val="none" w:sz="0" w:space="0" w:color="auto"/>
                                    <w:right w:val="none" w:sz="0" w:space="0" w:color="auto"/>
                                  </w:divBdr>
                                </w:div>
                                <w:div w:id="744034421">
                                  <w:marLeft w:val="0"/>
                                  <w:marRight w:val="0"/>
                                  <w:marTop w:val="0"/>
                                  <w:marBottom w:val="0"/>
                                  <w:divBdr>
                                    <w:top w:val="none" w:sz="0" w:space="0" w:color="auto"/>
                                    <w:left w:val="none" w:sz="0" w:space="0" w:color="auto"/>
                                    <w:bottom w:val="none" w:sz="0" w:space="0" w:color="auto"/>
                                    <w:right w:val="none" w:sz="0" w:space="0" w:color="auto"/>
                                  </w:divBdr>
                                </w:div>
                                <w:div w:id="1399480784">
                                  <w:marLeft w:val="0"/>
                                  <w:marRight w:val="0"/>
                                  <w:marTop w:val="0"/>
                                  <w:marBottom w:val="0"/>
                                  <w:divBdr>
                                    <w:top w:val="none" w:sz="0" w:space="0" w:color="auto"/>
                                    <w:left w:val="none" w:sz="0" w:space="0" w:color="auto"/>
                                    <w:bottom w:val="none" w:sz="0" w:space="0" w:color="auto"/>
                                    <w:right w:val="none" w:sz="0" w:space="0" w:color="auto"/>
                                  </w:divBdr>
                                </w:div>
                                <w:div w:id="203105617">
                                  <w:marLeft w:val="0"/>
                                  <w:marRight w:val="0"/>
                                  <w:marTop w:val="0"/>
                                  <w:marBottom w:val="0"/>
                                  <w:divBdr>
                                    <w:top w:val="none" w:sz="0" w:space="0" w:color="auto"/>
                                    <w:left w:val="none" w:sz="0" w:space="0" w:color="auto"/>
                                    <w:bottom w:val="none" w:sz="0" w:space="0" w:color="auto"/>
                                    <w:right w:val="none" w:sz="0" w:space="0" w:color="auto"/>
                                  </w:divBdr>
                                </w:div>
                                <w:div w:id="393547620">
                                  <w:marLeft w:val="0"/>
                                  <w:marRight w:val="0"/>
                                  <w:marTop w:val="0"/>
                                  <w:marBottom w:val="0"/>
                                  <w:divBdr>
                                    <w:top w:val="none" w:sz="0" w:space="0" w:color="auto"/>
                                    <w:left w:val="none" w:sz="0" w:space="0" w:color="auto"/>
                                    <w:bottom w:val="none" w:sz="0" w:space="0" w:color="auto"/>
                                    <w:right w:val="none" w:sz="0" w:space="0" w:color="auto"/>
                                  </w:divBdr>
                                </w:div>
                                <w:div w:id="1487624005">
                                  <w:marLeft w:val="0"/>
                                  <w:marRight w:val="0"/>
                                  <w:marTop w:val="0"/>
                                  <w:marBottom w:val="0"/>
                                  <w:divBdr>
                                    <w:top w:val="none" w:sz="0" w:space="0" w:color="auto"/>
                                    <w:left w:val="none" w:sz="0" w:space="0" w:color="auto"/>
                                    <w:bottom w:val="none" w:sz="0" w:space="0" w:color="auto"/>
                                    <w:right w:val="none" w:sz="0" w:space="0" w:color="auto"/>
                                  </w:divBdr>
                                </w:div>
                                <w:div w:id="349450556">
                                  <w:marLeft w:val="0"/>
                                  <w:marRight w:val="0"/>
                                  <w:marTop w:val="0"/>
                                  <w:marBottom w:val="0"/>
                                  <w:divBdr>
                                    <w:top w:val="none" w:sz="0" w:space="0" w:color="auto"/>
                                    <w:left w:val="none" w:sz="0" w:space="0" w:color="auto"/>
                                    <w:bottom w:val="none" w:sz="0" w:space="0" w:color="auto"/>
                                    <w:right w:val="none" w:sz="0" w:space="0" w:color="auto"/>
                                  </w:divBdr>
                                </w:div>
                                <w:div w:id="140668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3213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lvationarm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15</Pages>
  <Words>4622</Words>
  <Characters>26347</Characters>
  <Application>Microsoft Office Word</Application>
  <DocSecurity>0</DocSecurity>
  <Lines>219</Lines>
  <Paragraphs>61</Paragraphs>
  <ScaleCrop>false</ScaleCrop>
  <Company/>
  <LinksUpToDate>false</LinksUpToDate>
  <CharactersWithSpaces>30908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Brammeier</dc:creator>
  <cp:keywords/>
  <dc:description/>
  <cp:lastModifiedBy>Connie Brammeier</cp:lastModifiedBy>
  <cp:revision>2</cp:revision>
  <dcterms:created xsi:type="dcterms:W3CDTF">2022-04-20T16:53:00Z</dcterms:created>
  <dcterms:modified xsi:type="dcterms:W3CDTF">2022-04-20T17:04:00Z</dcterms:modified>
</cp:coreProperties>
</file>